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2"/>
          <w:szCs w:val="22"/>
        </w:rPr>
        <w:t xml:space="preserve"/>
      </w:r>
    </w:p>
    <w:p>
      <w:pPr>
        <w:spacing w:after="80"/>
        <w:jc w:val="center"/>
      </w:pPr>
      <w:r>
        <w:rPr>
          <w:rFonts w:ascii="Arial" w:cs="Arial" w:eastAsia="Arial" w:hAnsi="Arial"/>
          <w:b/>
          <w:bCs/>
          <w:color w:val="1F4E79"/>
          <w:sz w:val="28"/>
          <w:szCs w:val="28"/>
        </w:rPr>
        <w:t xml:space="preserve">PIKES PEAK REGIONAL BUILDING DEPARTMENT</w:t>
      </w:r>
    </w:p>
    <w:p>
      <w:pPr>
        <w:spacing w:after="80"/>
        <w:jc w:val="center"/>
      </w:pPr>
      <w:r>
        <w:rPr>
          <w:rFonts w:ascii="Arial" w:cs="Arial" w:eastAsia="Arial" w:hAnsi="Arial"/>
          <w:b/>
          <w:bCs/>
          <w:color w:val="2E75B6"/>
          <w:sz w:val="52"/>
          <w:szCs w:val="52"/>
        </w:rPr>
        <w:t xml:space="preserve">Accessibility &amp; Technical Audit Report</w:t>
      </w:r>
    </w:p>
    <w:p>
      <w:pPr>
        <w:spacing w:after="40"/>
        <w:jc w:val="center"/>
      </w:pPr>
      <w:r>
        <w:rPr>
          <w:rFonts w:ascii="Arial" w:cs="Arial" w:eastAsia="Arial" w:hAnsi="Arial"/>
          <w:color w:val="1F4E79"/>
          <w:sz w:val="24"/>
          <w:szCs w:val="24"/>
        </w:rPr>
        <w:t xml:space="preserve">Plan and Permit Activity Charts  |  pprbd.org/Information/Charts</w:t>
      </w:r>
    </w:p>
    <w:p>
      <w:pPr>
        <w:spacing w:after="600"/>
        <w:jc w:val="center"/>
      </w:pPr>
      <w:r>
        <w:rPr>
          <w:rFonts w:ascii="Arial" w:cs="Arial" w:eastAsia="Arial" w:hAnsi="Arial"/>
          <w:color w:val="888888"/>
          <w:sz w:val="24"/>
          <w:szCs w:val="24"/>
        </w:rPr>
        <w:t xml:space="preserve">April 10, 2026</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spacing w:after="80"/>
            </w:pPr>
            <w:r>
              <w:rPr>
                <w:rFonts w:ascii="Arial" w:cs="Arial" w:eastAsia="Arial" w:hAnsi="Arial"/>
                <w:b/>
                <w:bCs/>
                <w:color w:val="1F4E79"/>
                <w:sz w:val="24"/>
                <w:szCs w:val="24"/>
              </w:rPr>
              <w:t xml:space="preserve">EXECUTIVE SUMMARY</w:t>
            </w:r>
          </w:p>
          <w:p>
            <w:pPr>
              <w:spacing w:after="80"/>
            </w:pPr>
            <w:r>
              <w:rPr>
                <w:rFonts w:ascii="Arial" w:cs="Arial" w:eastAsia="Arial" w:hAnsi="Arial"/>
                <w:sz w:val="22"/>
                <w:szCs w:val="22"/>
              </w:rPr>
              <w:t xml:space="preserve">This audit identifies two categories of issues on the Plan and Permit Activity Charts page: (1) a JavaScript runtime error that silently prevents all chart content from rendering, and (2) multiple WCAG 2.1 accessibility violations affecting users of assistive technology. A separate section addresses a data availability gap regarding Certificate of Occupancy records, which are not currently accessible in a structured, publicly queryable format.</w:t>
            </w:r>
          </w:p>
          <w:p>
            <w:pPr>
              <w:spacing w:after="40"/>
            </w:pPr>
            <w:r>
              <w:rPr>
                <w:rFonts w:ascii="Arial" w:cs="Arial" w:eastAsia="Arial" w:hAnsi="Arial"/>
                <w:b/>
                <w:bCs/>
                <w:sz w:val="22"/>
                <w:szCs w:val="22"/>
              </w:rPr>
              <w:t xml:space="preserve">Critical issues found: </w:t>
            </w:r>
            <w:r>
              <w:rPr>
                <w:rFonts w:ascii="Arial" w:cs="Arial" w:eastAsia="Arial" w:hAnsi="Arial"/>
                <w:b/>
                <w:bCs/>
                <w:color w:val="C00000"/>
                <w:sz w:val="22"/>
                <w:szCs w:val="22"/>
              </w:rPr>
              <w:t xml:space="preserve">1  </w:t>
            </w:r>
            <w:r>
              <w:rPr>
                <w:rFonts w:ascii="Arial" w:cs="Arial" w:eastAsia="Arial" w:hAnsi="Arial"/>
                <w:b/>
                <w:bCs/>
                <w:sz w:val="22"/>
                <w:szCs w:val="22"/>
              </w:rPr>
              <w:t xml:space="preserve">  Serious: </w:t>
            </w:r>
            <w:r>
              <w:rPr>
                <w:rFonts w:ascii="Arial" w:cs="Arial" w:eastAsia="Arial" w:hAnsi="Arial"/>
                <w:b/>
                <w:bCs/>
                <w:color w:val="C55A11"/>
                <w:sz w:val="22"/>
                <w:szCs w:val="22"/>
              </w:rPr>
              <w:t xml:space="preserve">4  </w:t>
            </w:r>
            <w:r>
              <w:rPr>
                <w:rFonts w:ascii="Arial" w:cs="Arial" w:eastAsia="Arial" w:hAnsi="Arial"/>
                <w:b/>
                <w:bCs/>
                <w:sz w:val="22"/>
                <w:szCs w:val="22"/>
              </w:rPr>
              <w:t xml:space="preserve">  Moderate: </w:t>
            </w:r>
            <w:r>
              <w:rPr>
                <w:rFonts w:ascii="Arial" w:cs="Arial" w:eastAsia="Arial" w:hAnsi="Arial"/>
                <w:b/>
                <w:bCs/>
                <w:color w:val="7F6000"/>
                <w:sz w:val="22"/>
                <w:szCs w:val="22"/>
              </w:rPr>
              <w:t xml:space="preserve">3</w:t>
            </w:r>
          </w:p>
        </w:tc>
      </w:tr>
    </w:tbl>
    <w:p>
      <w:pPr>
        <w:spacing w:after="400"/>
      </w:pPr>
      <w:r>
        <w:rPr>
          <w:rFonts w:ascii="Arial" w:cs="Arial" w:eastAsia="Arial" w:hAnsi="Arial"/>
          <w:sz w:val="22"/>
          <w:szCs w:val="22"/>
        </w:rPr>
        <w:t xml:space="preserve"/>
      </w:r>
    </w:p>
    <w:p>
      <w:r>
        <w:br w:type="page"/>
      </w:r>
    </w:p>
    <w:p>
      <w:pPr>
        <w:pStyle w:val="Heading1"/>
      </w:pPr>
      <w:r>
        <w:rPr>
          <w:rFonts w:ascii="Arial" w:cs="Arial" w:eastAsia="Arial" w:hAnsi="Arial"/>
          <w:b/>
          <w:bCs/>
          <w:color w:val="1F4E79"/>
          <w:sz w:val="36"/>
          <w:szCs w:val="36"/>
        </w:rPr>
        <w:t xml:space="preserve">1.  JavaScript Runtime Error</w:t>
      </w:r>
    </w:p>
    <w:p>
      <w:pPr>
        <w:pBdr>
          <w:bottom w:val="single" w:color="2E75B6" w:sz="8" w:space="1"/>
        </w:pBd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1.1  Error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Type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Uncaught TypeError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Message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read properties of null (reading 'length')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Function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BuildChart()  →  line 697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Caller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BuildChartAndGridsFromAJAX()  →  line 68 (AJAX success callback)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Selecting any filter combination that returns zero results — API returns null instead of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Entire chart page fails silently; no content renders for any user</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1.2  Root Cause</w:t>
      </w:r>
    </w:p>
    <w:p>
      <w:pPr>
        <w:spacing w:after="120"/>
      </w:pPr>
      <w:r>
        <w:rPr>
          <w:rFonts w:ascii="Arial" w:cs="Arial" w:eastAsia="Arial" w:hAnsi="Arial"/>
          <w:sz w:val="22"/>
          <w:szCs w:val="22"/>
        </w:rPr>
        <w:t xml:space="preserve">The AJAX endpoint returns null when a query produces no results, rather than an empty array []. The BuildChart() function then attempts to read .length on this null value at line 697, causing an unhandled exception that terminates all chart rendering.</w:t>
      </w:r>
    </w:p>
    <w:p>
      <w:pPr>
        <w:spacing w:after="8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1.3  Fix  (two layers required)</w:t>
      </w:r>
    </w:p>
    <w:p>
      <w:pPr>
        <w:pStyle w:val="Heading3"/>
      </w:pPr>
      <w:r>
        <w:rPr>
          <w:rFonts w:ascii="Arial" w:cs="Arial" w:eastAsia="Arial" w:hAnsi="Arial"/>
          <w:b/>
          <w:bCs/>
          <w:color w:val="1F4E79"/>
          <w:sz w:val="24"/>
          <w:szCs w:val="24"/>
        </w:rPr>
        <w:t xml:space="preserve">Layer 1 — Backend / API</w:t>
      </w:r>
    </w:p>
    <w:p>
      <w:pPr>
        <w:pStyle w:val="ListParagraph"/>
        <w:numPr>
          <w:ilvl w:val="0"/>
          <w:numId w:val="2"/>
        </w:numPr>
        <w:spacing w:after="80"/>
      </w:pPr>
      <w:r>
        <w:rPr>
          <w:rFonts w:ascii="Arial" w:cs="Arial" w:eastAsia="Arial" w:hAnsi="Arial"/>
          <w:sz w:val="22"/>
          <w:szCs w:val="22"/>
        </w:rPr>
        <w:t xml:space="preserve">Never return null for a collection. Return an empty array [] (or empty List&lt;T&gt; in C#) when no records match.</w:t>
      </w:r>
    </w:p>
    <w:p>
      <w:pPr>
        <w:pStyle w:val="ListParagraph"/>
        <w:numPr>
          <w:ilvl w:val="0"/>
          <w:numId w:val="2"/>
        </w:numPr>
        <w:spacing w:after="80"/>
      </w:pPr>
      <w:r>
        <w:rPr>
          <w:rFonts w:ascii="Arial" w:cs="Arial" w:eastAsia="Arial" w:hAnsi="Arial"/>
          <w:sz w:val="22"/>
          <w:szCs w:val="22"/>
        </w:rPr>
        <w:t xml:space="preserve">This is the more important of the two fixes — a null collection is a contract violation.</w:t>
      </w:r>
    </w:p>
    <w:p>
      <w:pPr>
        <w:spacing w:after="80"/>
      </w:pPr>
      <w:r>
        <w:rPr>
          <w:rFonts w:ascii="Arial" w:cs="Arial" w:eastAsia="Arial" w:hAnsi="Arial"/>
          <w:sz w:val="22"/>
          <w:szCs w:val="22"/>
        </w:rPr>
        <w:t xml:space="preserve"/>
      </w:r>
    </w:p>
    <w:p>
      <w:pPr>
        <w:pStyle w:val="Heading3"/>
      </w:pPr>
      <w:r>
        <w:rPr>
          <w:rFonts w:ascii="Arial" w:cs="Arial" w:eastAsia="Arial" w:hAnsi="Arial"/>
          <w:b/>
          <w:bCs/>
          <w:color w:val="1F4E79"/>
          <w:sz w:val="24"/>
          <w:szCs w:val="24"/>
        </w:rPr>
        <w:t xml:space="preserve">Layer 2 — Frontend (BuildChart)</w:t>
      </w:r>
    </w:p>
    <w:p>
      <w:pPr>
        <w:pStyle w:val="ListParagraph"/>
        <w:numPr>
          <w:ilvl w:val="0"/>
          <w:numId w:val="2"/>
        </w:numPr>
        <w:spacing w:after="80"/>
      </w:pPr>
      <w:r>
        <w:rPr>
          <w:rFonts w:ascii="Arial" w:cs="Arial" w:eastAsia="Arial" w:hAnsi="Arial"/>
          <w:sz w:val="22"/>
          <w:szCs w:val="22"/>
        </w:rPr>
        <w:t xml:space="preserve">Add a null/empty guard at the top of BuildChart() before any property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r>
              <w:rPr>
                <w:rFonts w:ascii="Courier New" w:cs="Courier New" w:eastAsia="Courier New" w:hAnsi="Courier New"/>
                <w:sz w:val="20"/>
                <w:szCs w:val="20"/>
              </w:rPr>
              <w:t xml:space="preserve">function BuildChart(data) {</w:t>
            </w:r>
          </w:p>
          <w:p>
            <w:r>
              <w:rPr>
                <w:rFonts w:ascii="Courier New" w:cs="Courier New" w:eastAsia="Courier New" w:hAnsi="Courier New"/>
                <w:color w:val="375623"/>
                <w:sz w:val="20"/>
                <w:szCs w:val="20"/>
              </w:rPr>
              <w:t xml:space="preserve">    const items = data?.chartItems ?? [];   // guard: never null</w:t>
            </w:r>
          </w:p>
          <w:p>
            <w:r>
              <w:rPr>
                <w:rFonts w:ascii="Courier New" w:cs="Courier New" w:eastAsia="Courier New" w:hAnsi="Courier New"/>
                <w:sz w:val="20"/>
                <w:szCs w:val="20"/>
              </w:rPr>
              <w:t xml:space="preserve">    if (items.length === 0) { showEmptyState(); return; }</w:t>
            </w:r>
          </w:p>
          <w:p>
            <w:r>
              <w:rPr>
                <w:rFonts w:ascii="Courier New" w:cs="Courier New" w:eastAsia="Courier New" w:hAnsi="Courier New"/>
                <w:color w:val="888888"/>
                <w:sz w:val="20"/>
                <w:szCs w:val="20"/>
              </w:rPr>
              <w:t xml:space="preserve">    // ... rest of chart logic</w:t>
            </w:r>
          </w:p>
          <w:p>
            <w:r>
              <w:rPr>
                <w:rFonts w:ascii="Courier New" w:cs="Courier New" w:eastAsia="Courier New" w:hAnsi="Courier New"/>
                <w:sz w:val="20"/>
                <w:szCs w:val="20"/>
              </w:rPr>
              <w:t xml:space="preserve">}</w:t>
            </w:r>
          </w:p>
        </w:tc>
      </w:tr>
    </w:tbl>
    <w:p>
      <w:pPr>
        <w:pStyle w:val="ListParagraph"/>
        <w:numPr>
          <w:ilvl w:val="0"/>
          <w:numId w:val="2"/>
        </w:numPr>
        <w:spacing w:after="80"/>
      </w:pPr>
      <w:r>
        <w:rPr>
          <w:rFonts w:ascii="Arial" w:cs="Arial" w:eastAsia="Arial" w:hAnsi="Arial"/>
          <w:sz w:val="22"/>
          <w:szCs w:val="22"/>
        </w:rPr>
        <w:t xml:space="preserve">Add a user-visible empty state message — do not fail silently.</w:t>
      </w:r>
    </w:p>
    <w:p>
      <w:pPr>
        <w:spacing w:after="8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1.4  Priority</w:t>
      </w:r>
    </w:p>
    <w:p>
      <w:pPr>
        <w:spacing w:after="120"/>
      </w:pPr>
      <w:r>
        <w:rPr>
          <w:rFonts w:ascii="Arial" w:cs="Arial" w:eastAsia="Arial" w:hAnsi="Arial"/>
          <w:sz w:val="22"/>
          <w:szCs w:val="22"/>
        </w:rPr>
        <w:t xml:space="preserve">This is the </w:t>
      </w:r>
      <w:r>
        <w:rPr>
          <w:rFonts w:ascii="Arial" w:cs="Arial" w:eastAsia="Arial" w:hAnsi="Arial"/>
          <w:b/>
          <w:bCs/>
          <w:color w:val="C00000"/>
          <w:sz w:val="22"/>
          <w:szCs w:val="22"/>
        </w:rPr>
        <w:t xml:space="preserve">highest priority item</w:t>
      </w:r>
      <w:r>
        <w:rPr>
          <w:rFonts w:ascii="Arial" w:cs="Arial" w:eastAsia="Arial" w:hAnsi="Arial"/>
          <w:sz w:val="22"/>
          <w:szCs w:val="22"/>
        </w:rPr>
        <w:t xml:space="preserve"> in this report. The JS crash is a prerequisite — no accessibility improvement matters if the page content never renders.</w:t>
      </w:r>
    </w:p>
    <w:p>
      <w:pPr>
        <w:spacing w:after="200"/>
      </w:pPr>
      <w:r>
        <w:rPr>
          <w:rFonts w:ascii="Arial" w:cs="Arial" w:eastAsia="Arial" w:hAnsi="Arial"/>
          <w:sz w:val="22"/>
          <w:szCs w:val="22"/>
        </w:rPr>
        <w:t xml:space="preserve"/>
      </w:r>
    </w:p>
    <w:p>
      <w:r>
        <w:br w:type="page"/>
      </w:r>
    </w:p>
    <w:p>
      <w:pPr>
        <w:pStyle w:val="Heading1"/>
      </w:pPr>
      <w:r>
        <w:rPr>
          <w:rFonts w:ascii="Arial" w:cs="Arial" w:eastAsia="Arial" w:hAnsi="Arial"/>
          <w:b/>
          <w:bCs/>
          <w:color w:val="1F4E79"/>
          <w:sz w:val="36"/>
          <w:szCs w:val="36"/>
        </w:rPr>
        <w:t xml:space="preserve">2.  ADA / WCAG 2.1 Accessibility Audit</w:t>
      </w:r>
    </w:p>
    <w:p>
      <w:pPr>
        <w:pBdr>
          <w:bottom w:val="single" w:color="2E75B6" w:sz="8" w:space="1"/>
        </w:pBd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Audit scope: pprbd.org/Information/Charts. Standards applied: WCAG 2.1 Level AA. Testing method: static HTML analysis, AJAX behavior review, and JavaScript error trace review.</w:t>
      </w:r>
    </w:p>
    <w:p>
      <w:pPr>
        <w:spacing w:after="8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2.1  Issue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900"/>
        <w:gridCol w:w="36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Location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WCAG</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80"/>
              <w:bottom w:type="dxa" w:w="80"/>
              <w:right w:type="dxa" w:w="80"/>
            </w:tcMar>
            <w:vAlign w:val="center"/>
          </w:tcPr>
          <w:p>
            <w:pPr>
              <w:jc w:val="center"/>
            </w:pPr>
            <w:r>
              <w:rPr>
                <w:rFonts w:ascii="Arial" w:cs="Arial" w:eastAsia="Arial" w:hAnsi="Arial"/>
                <w:b/>
                <w:bCs/>
                <w:color w:val="C00000"/>
                <w:sz w:val="18"/>
                <w:szCs w:val="18"/>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JS crash kills all page 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Entire page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4.1.3 (AA)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BuildChart() throws, the content area is blank with no error notice to any user, including screen reader users.</w:t>
            </w:r>
          </w:p>
        </w:tc>
      </w:tr>
      <w:tr>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SERIOUS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Chart not accessible to screen readers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 canvas/SVG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1.1.1 (A)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role="img", aria-label, or accessible data table alternative is provided for the chart visual.</w:t>
            </w:r>
          </w:p>
        </w:tc>
      </w:tr>
      <w:tr>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SERIOUS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Mouse-only interaction instruction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 section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2.1.1 (A)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 any chart columns" excludes keyboard and touch users. No keyboard equivalent is described.</w:t>
            </w:r>
          </w:p>
        </w:tc>
      </w:tr>
      <w:tr>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SERIOUS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Filter dropdowns missing programmatic labels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&lt;select&gt; elements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1.3.1 (A)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Labels appear as adjacent text nodes, not &lt;label for=""&gt; elements. Screen readers cannot associate them.</w:t>
            </w:r>
          </w:p>
        </w:tc>
      </w:tr>
      <w:tr>
        <w:tc>
          <w:tcPr>
            <w:tcW w:type="dxa" w:w="1200"/>
            <w:tcBorders>
              <w:top w:val="single" w:color="CCCCCC" w:sz="1"/>
              <w:left w:val="single" w:color="CCCCCC" w:sz="1"/>
              <w:bottom w:val="single" w:color="CCCCCC" w:sz="1"/>
              <w:right w:val="single" w:color="CCCCCC" w:sz="1"/>
            </w:tcBorders>
            <w:shd w:fill="FDE9D9" w:val="clear"/>
            <w:tcMar>
              <w:top w:type="dxa" w:w="80"/>
              <w:left w:type="dxa" w:w="80"/>
              <w:bottom w:type="dxa" w:w="80"/>
              <w:right w:type="dxa" w:w="80"/>
            </w:tcMar>
            <w:vAlign w:val="center"/>
          </w:tcPr>
          <w:p>
            <w:pPr>
              <w:jc w:val="center"/>
            </w:pPr>
            <w:r>
              <w:rPr>
                <w:rFonts w:ascii="Arial" w:cs="Arial" w:eastAsia="Arial" w:hAnsi="Arial"/>
                <w:b/>
                <w:bCs/>
                <w:color w:val="C55A11"/>
                <w:sz w:val="18"/>
                <w:szCs w:val="18"/>
              </w:rPr>
              <w:t xml:space="preserve">SERIOUS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Loading spinner has no ARIA live region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Please Wait... div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4.1.3 (AA)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Screen readers cannot announce load start/end without aria-live="polite" and aria-busy on the container.</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Data tables missing header markup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Totals/% grids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1.3.1 (A)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&lt;table&gt; cells render with no &lt;th scope="col/row"&gt; elements. Structure is invisible to assistive tech.</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No date range validation feedback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Start/End selects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3.3.1 (A)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Selecting an end date before the start date fails silently. No accessible error message is surfaced.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80"/>
              <w:bottom w:type="dxa" w:w="80"/>
              <w:right w:type="dxa" w:w="80"/>
            </w:tcMar>
            <w:vAlign w:val="center"/>
          </w:tcPr>
          <w:p>
            <w:pPr>
              <w:jc w:val="center"/>
            </w:pPr>
            <w:r>
              <w:rPr>
                <w:rFonts w:ascii="Arial" w:cs="Arial" w:eastAsia="Arial" w:hAnsi="Arial"/>
                <w:b/>
                <w:bCs/>
                <w:color w:val="7F6000"/>
                <w:sz w:val="18"/>
                <w:szCs w:val="18"/>
              </w:rPr>
              <w:t xml:space="preserve">MODERATE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Chart uses color encoding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 columns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1.4.1 (A)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type is distinguished by color alone. No pattern, texture, or label alternative for colorblind users.</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2.2  Heading Structure Workaround</w:t>
      </w:r>
    </w:p>
    <w:p>
      <w:pPr>
        <w:spacing w:after="120"/>
      </w:pPr>
      <w:r>
        <w:rPr>
          <w:rFonts w:ascii="Arial" w:cs="Arial" w:eastAsia="Arial" w:hAnsi="Arial"/>
          <w:sz w:val="22"/>
          <w:szCs w:val="22"/>
        </w:rPr>
        <w:t xml:space="preserve">The site header contains visible text reading "This is not a heading and this text should never display" — a brittle workaround to confuse a specific automated accessibility scanner (WAVE). This approach is fragile and creates a confusing experience if rendered. Recommended fix: apply aria-hidden="true" to any decorative or redundant text elements instead.</w:t>
      </w:r>
    </w:p>
    <w:p>
      <w:pPr>
        <w:spacing w:after="16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2.3  Prioritized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Immediate (this sprint)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 the null guard in BuildChart() and update API to return [] not null. Deploy and verify chart loads with zero-result filters.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Short term (2–4 weeks)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aria-live="polite" to loading region. Associate all &lt;select&gt; filters with &lt;label for=""&gt;. Add role="img" and aria-label to chart with a plain-language 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term (1–2 months)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&lt;th scope&gt; to all data grid tables. Replace color-only encoding with pattern fills or direct labels. Add visible date range validation with an aria-live error message.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Longer term (next release)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mouse-only column click interaction with a keyboard-navigable equivalent. Remove the WAVE workaround text and use aria-hidden="true" instead.</w:t>
            </w:r>
          </w:p>
        </w:tc>
      </w:tr>
    </w:tbl>
    <w:p>
      <w:pPr>
        <w:spacing w:after="200"/>
      </w:pPr>
      <w:r>
        <w:rPr>
          <w:rFonts w:ascii="Arial" w:cs="Arial" w:eastAsia="Arial" w:hAnsi="Arial"/>
          <w:sz w:val="22"/>
          <w:szCs w:val="22"/>
        </w:rPr>
        <w:t xml:space="preserve"/>
      </w:r>
    </w:p>
    <w:p>
      <w:r>
        <w:br w:type="page"/>
      </w:r>
    </w:p>
    <w:p>
      <w:pPr>
        <w:pStyle w:val="Heading1"/>
      </w:pPr>
      <w:r>
        <w:rPr>
          <w:rFonts w:ascii="Arial" w:cs="Arial" w:eastAsia="Arial" w:hAnsi="Arial"/>
          <w:b/>
          <w:bCs/>
          <w:color w:val="1F4E79"/>
          <w:sz w:val="36"/>
          <w:szCs w:val="36"/>
        </w:rPr>
        <w:t xml:space="preserve">3.  Data Availability: Certificate of Occupancy</w:t>
      </w:r>
    </w:p>
    <w:p>
      <w:pPr>
        <w:pBdr>
          <w:bottom w:val="single" w:color="2E75B6" w:sz="8" w:space="1"/>
        </w:pBd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3.1  Current State</w:t>
      </w:r>
    </w:p>
    <w:p>
      <w:pPr>
        <w:spacing w:after="120"/>
      </w:pPr>
      <w:r>
        <w:rPr>
          <w:rFonts w:ascii="Arial" w:cs="Arial" w:eastAsia="Arial" w:hAnsi="Arial"/>
          <w:sz w:val="22"/>
          <w:szCs w:val="22"/>
        </w:rPr>
        <w:t xml:space="preserve">PPRBD does not currently expose Certificate of Occupancy (CO) records as a distinct, publicly accessible, machine-readable dataset. The following table summarizes what is and is not currently available: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Point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Available?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Building permit issuance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2"/>
                <w:szCs w:val="22"/>
              </w:rPr>
              <w:t xml:space="preserve">✓ Yes — public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HTML/TXT reports at pprbd.org/Information/Reports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Permit number, address, contractor, 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2"/>
                <w:szCs w:val="22"/>
              </w:rPr>
              <w:t xml:space="preserve">✓ Yes — public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Included in free building reports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Certificate of Occupancy — issuance 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2"/>
                <w:szCs w:val="22"/>
              </w:rPr>
              <w:t xml:space="preserve">✗ Not public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 records are embedded in subscription-only permit detail reports (#48, #49). No dedicated CO report or field exists in the public dataset.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Certificate of Occupancy — year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2"/>
                <w:szCs w:val="22"/>
              </w:rPr>
              <w:t xml:space="preserve">✗ Not public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be derived from any free report without per-permit lookup via the search interface.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Jurisdiction per permit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55A11"/>
                <w:sz w:val="22"/>
                <w:szCs w:val="22"/>
              </w:rPr>
              <w:t xml:space="preserve">~ Partial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City name is in the address field of building reports and can be mapped to jurisdiction. PPRBD jurisdiction codes are not a separate field.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ZIP code per permit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22"/>
                <w:szCs w:val="22"/>
              </w:rPr>
              <w:t xml:space="preserve">✓ Yes — public</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Present in address field of all free building reports.</w:t>
            </w:r>
          </w:p>
        </w:tc>
      </w:tr>
    </w:tbl>
    <w:p>
      <w:pPr>
        <w:spacing w:after="16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3.2  Requested Data Fields</w:t>
      </w:r>
    </w:p>
    <w:p>
      <w:pPr>
        <w:spacing w:after="120"/>
      </w:pPr>
      <w:r>
        <w:rPr>
          <w:rFonts w:ascii="Arial" w:cs="Arial" w:eastAsia="Arial" w:hAnsi="Arial"/>
          <w:sz w:val="22"/>
          <w:szCs w:val="22"/>
        </w:rPr>
        <w:t xml:space="preserve">The following fields are needed for a complete occupancy record dataset. We are requesting that PPRBD make these available in a future public report or API endpoint:</w:t>
      </w:r>
    </w:p>
    <w:p>
      <w:pPr>
        <w:spacing w:after="4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Certificate of Occupancy year  (the year the CO was issued, not the building permit year)</w:t>
      </w:r>
    </w:p>
    <w:p>
      <w:pPr>
        <w:pStyle w:val="ListParagraph"/>
        <w:numPr>
          <w:ilvl w:val="0"/>
          <w:numId w:val="2"/>
        </w:numPr>
        <w:spacing w:after="80"/>
      </w:pPr>
      <w:r>
        <w:rPr>
          <w:rFonts w:ascii="Arial" w:cs="Arial" w:eastAsia="Arial" w:hAnsi="Arial"/>
          <w:sz w:val="22"/>
          <w:szCs w:val="22"/>
        </w:rPr>
        <w:t xml:space="preserve">Jurisdiction  (Colorado Springs, El Paso County, Fountain, Manitou Springs, Monument, Woodland Park, Green Mountain Falls, Palmer Lake)</w:t>
      </w:r>
    </w:p>
    <w:p>
      <w:pPr>
        <w:pStyle w:val="ListParagraph"/>
        <w:numPr>
          <w:ilvl w:val="0"/>
          <w:numId w:val="2"/>
        </w:numPr>
        <w:spacing w:after="80"/>
      </w:pPr>
      <w:r>
        <w:rPr>
          <w:rFonts w:ascii="Arial" w:cs="Arial" w:eastAsia="Arial" w:hAnsi="Arial"/>
          <w:sz w:val="22"/>
          <w:szCs w:val="22"/>
        </w:rPr>
        <w:t xml:space="preserve">ZIP code  (already available in address field — requesting it as a discrete column in any new CO export)</w:t>
      </w:r>
    </w:p>
    <w:p>
      <w:pPr>
        <w:pStyle w:val="ListParagraph"/>
        <w:numPr>
          <w:ilvl w:val="0"/>
          <w:numId w:val="2"/>
        </w:numPr>
        <w:spacing w:after="80"/>
      </w:pPr>
      <w:r>
        <w:rPr>
          <w:rFonts w:ascii="Arial" w:cs="Arial" w:eastAsia="Arial" w:hAnsi="Arial"/>
          <w:sz w:val="22"/>
          <w:szCs w:val="22"/>
        </w:rPr>
        <w:t xml:space="preserve">Permit number  (to allow joining CO records to existing building permit records)</w:t>
      </w:r>
    </w:p>
    <w:p>
      <w:pPr>
        <w:spacing w:after="16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3.3  What We Were Able to Extract (Feb 2026 Building Permits)</w:t>
      </w:r>
    </w:p>
    <w:p>
      <w:pPr>
        <w:spacing w:after="120"/>
      </w:pPr>
      <w:r>
        <w:rPr>
          <w:rFonts w:ascii="Arial" w:cs="Arial" w:eastAsia="Arial" w:hAnsi="Arial"/>
          <w:sz w:val="22"/>
          <w:szCs w:val="22"/>
        </w:rPr>
        <w:t xml:space="preserve">From the publicly available February 2026 building permit report, we were able to parse 139 new single-family residential permits with permit number, issue year, ZIP code, city, and mapped jurisdiction. This file is attached separately as pprbd_permits_feb2026.csv.</w:t>
      </w:r>
    </w:p>
    <w:p>
      <w:pPr>
        <w:spacing w:after="40"/>
      </w:pPr>
      <w:r>
        <w:rPr>
          <w:rFonts w:ascii="Arial" w:cs="Arial" w:eastAsia="Arial" w:hAnsi="Arial"/>
          <w:sz w:val="22"/>
          <w:szCs w:val="22"/>
        </w:rPr>
        <w:t xml:space="preserve"/>
      </w:r>
    </w:p>
    <w:p>
      <w:pPr>
        <w:spacing w:after="120"/>
      </w:pPr>
      <w:r>
        <w:rPr>
          <w:rFonts w:ascii="Arial" w:cs="Arial" w:eastAsia="Arial" w:hAnsi="Arial"/>
          <w:sz w:val="22"/>
          <w:szCs w:val="22"/>
        </w:rPr>
        <w:t xml:space="preserve">This dataset represents building permit issuance only — not Certificates of Occupancy. A CO is typically issued weeks to months after the building permit, once inspections are complete. These are distinct events and the year of CO issuance cannot be inferred from the permit date alone.</w:t>
      </w:r>
    </w:p>
    <w:p>
      <w:pPr>
        <w:spacing w:after="160"/>
      </w:pPr>
      <w:r>
        <w:rPr>
          <w:rFonts w:ascii="Arial" w:cs="Arial" w:eastAsia="Arial" w:hAnsi="Arial"/>
          <w:sz w:val="22"/>
          <w:szCs w:val="22"/>
        </w:rPr>
        <w:t xml:space="preserve"/>
      </w:r>
    </w:p>
    <w:p>
      <w:pPr>
        <w:pStyle w:val="Heading2"/>
      </w:pPr>
      <w:r>
        <w:rPr>
          <w:rFonts w:ascii="Arial" w:cs="Arial" w:eastAsia="Arial" w:hAnsi="Arial"/>
          <w:b/>
          <w:bCs/>
          <w:color w:val="2E75B6"/>
          <w:sz w:val="28"/>
          <w:szCs w:val="28"/>
        </w:rPr>
        <w:t xml:space="preserve">3.4  Recommendation</w:t>
      </w:r>
    </w:p>
    <w:p>
      <w:pPr>
        <w:spacing w:after="120"/>
      </w:pPr>
      <w:r>
        <w:rPr>
          <w:rFonts w:ascii="Arial" w:cs="Arial" w:eastAsia="Arial" w:hAnsi="Arial"/>
          <w:sz w:val="22"/>
          <w:szCs w:val="22"/>
        </w:rPr>
        <w:t xml:space="preserve">We recommend PPRBD consider one of the following options to make CO data publicly accessible:</w:t>
      </w:r>
    </w:p>
    <w:p>
      <w:pPr>
        <w:spacing w:after="4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Add a dedicated Certificate of Occupancy report to the public Reports page (pprbd.org/Information/Reports) with CO date, permit number, address, ZIP, and jurisdiction.</w:t>
      </w:r>
    </w:p>
    <w:p>
      <w:pPr>
        <w:pStyle w:val="ListParagraph"/>
        <w:numPr>
          <w:ilvl w:val="0"/>
          <w:numId w:val="3"/>
        </w:numPr>
        <w:spacing w:after="80"/>
      </w:pPr>
      <w:r>
        <w:rPr>
          <w:rFonts w:ascii="Arial" w:cs="Arial" w:eastAsia="Arial" w:hAnsi="Arial"/>
          <w:sz w:val="22"/>
          <w:szCs w:val="22"/>
        </w:rPr>
        <w:t xml:space="preserve">Expose a filtered view in the existing Charts interface that separates CO milestones from permit issuances, since the chart infrastructure already handles multiple metric types.</w:t>
      </w:r>
    </w:p>
    <w:p>
      <w:pPr>
        <w:pStyle w:val="ListParagraph"/>
        <w:numPr>
          <w:ilvl w:val="0"/>
          <w:numId w:val="3"/>
        </w:numPr>
        <w:spacing w:after="80"/>
      </w:pPr>
      <w:r>
        <w:rPr>
          <w:rFonts w:ascii="Arial" w:cs="Arial" w:eastAsia="Arial" w:hAnsi="Arial"/>
          <w:sz w:val="22"/>
          <w:szCs w:val="22"/>
        </w:rPr>
        <w:t xml:space="preserve">Provide a one-time bulk extract of historical CO records (year, ZIP, jurisdiction, permit number) as a downloadable file, even if ongoing automation is not feasible in the near term.</w:t>
      </w:r>
    </w:p>
    <w:p>
      <w:pPr>
        <w:spacing w:after="200"/>
      </w:pPr>
      <w:r>
        <w:rPr>
          <w:rFonts w:ascii="Arial" w:cs="Arial" w:eastAsia="Arial" w:hAnsi="Arial"/>
          <w:sz w:val="22"/>
          <w:szCs w:val="22"/>
        </w:rPr>
        <w:t xml:space="preserve"/>
      </w:r>
    </w:p>
    <w:p>
      <w:r>
        <w:br w:type="page"/>
      </w:r>
    </w:p>
    <w:p>
      <w:pPr>
        <w:pStyle w:val="Heading1"/>
      </w:pPr>
      <w:r>
        <w:rPr>
          <w:rFonts w:ascii="Arial" w:cs="Arial" w:eastAsia="Arial" w:hAnsi="Arial"/>
          <w:b/>
          <w:bCs/>
          <w:color w:val="1F4E79"/>
          <w:sz w:val="36"/>
          <w:szCs w:val="36"/>
        </w:rPr>
        <w:t xml:space="preserve">4.  About This Audit</w:t>
      </w:r>
    </w:p>
    <w:p>
      <w:pPr>
        <w:pBdr>
          <w:bottom w:val="single" w:color="2E75B6" w:sz="8" w:space="1"/>
        </w:pBdr>
        <w:spacing w:after="12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This audit was conducted on April 10, 2026 via direct review of pprbd.org/Information/Charts and pprbd.org/Information/Reports. No login or subscription was used. All findings are based on publicly observable page behavior, JavaScript error traces, HTML structure analysis, and the free permit reports available without authentication.</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We have no affiliation with any vendor or competitor of PPRBD. This report is offered in the spirit of civic improvement and public data accessibility. We are happy to discuss any item in this report, provide additional technical detail, or assist with implementation planning.</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Contact: </w:t>
      </w:r>
      <w:r>
        <w:rPr>
          <w:rFonts w:ascii="Arial" w:cs="Arial" w:eastAsia="Arial" w:hAnsi="Arial"/>
          <w:sz w:val="22"/>
          <w:szCs w:val="22"/>
        </w:rPr>
        <w:t xml:space="preserve">Available upon request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Pikes Peak Regional Building Department  |  Accessibility &amp; Technical Audit  |  April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2026-04-10T16:26:19.587Z</dcterms:created>
  <dcterms:modified xsi:type="dcterms:W3CDTF">2026-04-10T16:26:19.588Z</dcterms:modified>
</cp:coreProperties>
</file>

<file path=docProps/custom.xml><?xml version="1.0" encoding="utf-8"?>
<Properties xmlns="http://schemas.openxmlformats.org/officeDocument/2006/custom-properties" xmlns:vt="http://schemas.openxmlformats.org/officeDocument/2006/docPropsVTypes"/>
</file>