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rFonts w:ascii="Arial" w:cs="Arial" w:eastAsia="Arial" w:hAnsi="Arial"/>
          <w:b/>
          <w:bCs/>
          <w:color w:val="1B3A6B"/>
          <w:sz w:val="52"/>
          <w:szCs w:val="52"/>
        </w:rPr>
        <w:t xml:space="preserve">OFFICIAL DIGITAL ACCESSIBILITY AUDIT</w:t>
      </w:r>
    </w:p>
    <w:p>
      <w:pPr>
        <w:spacing w:after="120" w:before="0"/>
      </w:pPr>
      <w:r>
        <w:rPr>
          <w:rFonts w:ascii="Arial" w:cs="Arial" w:eastAsia="Arial" w:hAnsi="Arial"/>
          <w:color w:val="2E5FA3"/>
          <w:sz w:val="32"/>
          <w:szCs w:val="32"/>
        </w:rPr>
        <w:t xml:space="preserve">Americans with Disabilities Act — Federal Compliance Review</w:t>
      </w:r>
    </w:p>
    <w:p>
      <w:pPr>
        <w:pBdr>
          <w:bottom w:val="single" w:color="CCCCC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Subject Entity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 One Financial Corporation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URL Audited</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capitalone.com/help-center/contact-us/</w:t>
            </w:r>
          </w:p>
        </w:tc>
      </w:tr>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Audit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Standard Applied</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WCAG 2.1 Level AA (Federal Baseline)</w:t>
            </w:r>
          </w:p>
        </w:tc>
      </w:tr>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Regulatory Basis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 Titles II &amp; III; Section 508; DOJ Final Rule (2024); CFPB Regulations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Entity Classification</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Federally Regulated Financial Institution (OCC Charter)</w:t>
            </w:r>
          </w:p>
        </w:tc>
      </w:tr>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Audit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&amp; Structural Review (Static Audit)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Accessibility Compliance Review — Internal Draft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160"/>
              <w:bottom w:type="dxa" w:w="120"/>
              <w:right w:type="dxa" w:w="160"/>
            </w:tcMar>
          </w:tcPr>
          <w:p>
            <w:pPr>
              <w:spacing w:after="60" w:before="0"/>
            </w:pPr>
            <w:r>
              <w:rPr>
                <w:rFonts w:ascii="Arial" w:cs="Arial" w:eastAsia="Arial" w:hAnsi="Arial"/>
                <w:b/>
                <w:bCs/>
                <w:color w:val="8B1A1A"/>
                <w:sz w:val="20"/>
                <w:szCs w:val="20"/>
              </w:rPr>
              <w:t xml:space="preserve">CRITICAL FINDING</w:t>
            </w:r>
          </w:p>
          <w:p>
            <w:pPr>
              <w:spacing w:after="0" w:before="0"/>
            </w:pPr>
            <w:r>
              <w:rPr>
                <w:rFonts w:ascii="Arial" w:cs="Arial" w:eastAsia="Arial" w:hAnsi="Arial"/>
                <w:color w:val="333333"/>
                <w:sz w:val="20"/>
                <w:szCs w:val="20"/>
              </w:rPr>
              <w:t xml:space="preserve">Capital One Financial Corporation is subject to federal digital accessibility obligations under the Americans with Disabilities Act, the Rehabilitation Act of 1973, and applicable banking regulations. This audit identifies material deficiencies on the Contact Us page that constitute probable violations of WCAG 2.1 Level AA — the federally mandated technical standard as of April 24, 2024.</w:t>
            </w:r>
          </w:p>
        </w:tc>
      </w:tr>
    </w:tbl>
    <w:p>
      <w:pPr>
        <w:spacing w:after="240" w:before="0"/>
      </w:pPr>
      <w:r>
        <w:t xml:space="preserve"/>
      </w:r>
    </w:p>
    <w:p>
      <w:pPr>
        <w:pStyle w:val="Heading1"/>
        <w:pBdr>
          <w:bottom w:val="single" w:color="2E5FA3" w:sz="6" w:space="4"/>
        </w:pBdr>
        <w:spacing w:after="160" w:before="400"/>
      </w:pPr>
      <w:r>
        <w:rPr>
          <w:rFonts w:ascii="Arial" w:cs="Arial" w:eastAsia="Arial" w:hAnsi="Arial"/>
          <w:b/>
          <w:bCs/>
          <w:color w:val="1B3A6B"/>
          <w:sz w:val="36"/>
          <w:szCs w:val="36"/>
        </w:rPr>
        <w:t xml:space="preserve">I. EXECUTIVE SUMMARY</w:t>
      </w:r>
    </w:p>
    <w:p>
      <w:pPr>
        <w:spacing w:after="120" w:before="80" w:line="320"/>
      </w:pPr>
      <w:r>
        <w:rPr>
          <w:rFonts w:ascii="Arial" w:cs="Arial" w:eastAsia="Arial" w:hAnsi="Arial"/>
          <w:sz w:val="22"/>
          <w:szCs w:val="22"/>
        </w:rPr>
        <w:t xml:space="preserve">This document presents an official digital accessibility compliance audit of Capital One Financial Corporation's Contact Us web page (capitalone.com/help-center/contact-us/). The audit evaluates the page against the Web Content Accessibility Guidelines (WCAG) 2.1 Level AA — the technical standard adopted as the federal baseline under the Americans with Disabilities Act — and assesses Capital One's broader legal obligations under applicable federal law.</w:t>
      </w:r>
    </w:p>
    <w:p>
      <w:pPr>
        <w:spacing w:after="120" w:before="80" w:line="320"/>
      </w:pPr>
      <w:r>
        <w:rPr>
          <w:rFonts w:ascii="Arial" w:cs="Arial" w:eastAsia="Arial" w:hAnsi="Arial"/>
          <w:sz w:val="22"/>
          <w:szCs w:val="22"/>
        </w:rPr>
        <w:t xml:space="preserve">The audit identified 15 discrete accessibility deficiencies: 6 rated Critical (probable WCAG Level A failures), 5 rated Moderate (probable WCAG Level AA failures), and 4 rated Minor (best-practice gaps). No critical deficiencies are offset by any identified mitigating factor.</w:t>
      </w:r>
    </w:p>
    <w:p>
      <w:pPr>
        <w:spacing w:after="80" w:before="0"/>
      </w:pPr>
      <w:r>
        <w:t xml:space="preserve"/>
      </w:r>
    </w:p>
    <w:p>
      <w:pPr>
        <w:pStyle w:val="Heading3"/>
        <w:spacing w:after="80" w:before="240"/>
      </w:pPr>
      <w:r>
        <w:rPr>
          <w:rFonts w:ascii="Arial" w:cs="Arial" w:eastAsia="Arial" w:hAnsi="Arial"/>
          <w:b/>
          <w:bCs/>
          <w:color w:val="2E5FA3"/>
          <w:sz w:val="24"/>
          <w:szCs w:val="24"/>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Critical Issues (WCAG / ADA Failures)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Moderate Issues (WCAG Level AA failures)</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w:t>
            </w:r>
          </w:p>
        </w:tc>
      </w:tr>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Minor / Best-Practice Issues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Items Passing</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w:t>
            </w:r>
          </w:p>
        </w:tc>
      </w:tr>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Overall Compliance 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NON-COMPLIANT — Material deficiencies present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Estimated Remediation Effort</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Medium (40–90 engineering hours)</w:t>
            </w:r>
          </w:p>
        </w:tc>
      </w:tr>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Legal Risk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 — No accessible non-phone contact channel for disabled users</w:t>
            </w:r>
          </w:p>
        </w:tc>
      </w:tr>
    </w:tbl>
    <w:p>
      <w:pPr>
        <w:spacing w:after="160" w:before="0"/>
      </w:pPr>
      <w:r>
        <w:t xml:space="preserve"/>
      </w:r>
    </w:p>
    <w:p>
      <w:pPr>
        <w:pStyle w:val="Heading1"/>
        <w:pBdr>
          <w:bottom w:val="single" w:color="2E5FA3" w:sz="6" w:space="4"/>
        </w:pBdr>
        <w:spacing w:after="160" w:before="400"/>
      </w:pPr>
      <w:r>
        <w:rPr>
          <w:rFonts w:ascii="Arial" w:cs="Arial" w:eastAsia="Arial" w:hAnsi="Arial"/>
          <w:b/>
          <w:bCs/>
          <w:color w:val="1B3A6B"/>
          <w:sz w:val="36"/>
          <w:szCs w:val="36"/>
        </w:rPr>
        <w:t xml:space="preserve">II. LEGAL BASIS — CAPITAL ONE'S FEDERAL OBLIGATIONS</w:t>
      </w:r>
    </w:p>
    <w:p>
      <w:pPr>
        <w:pStyle w:val="Heading2"/>
        <w:spacing w:after="120" w:before="360"/>
      </w:pPr>
      <w:r>
        <w:rPr>
          <w:rFonts w:ascii="Arial" w:cs="Arial" w:eastAsia="Arial" w:hAnsi="Arial"/>
          <w:b/>
          <w:bCs/>
          <w:color w:val="1B3A6B"/>
          <w:sz w:val="28"/>
          <w:szCs w:val="28"/>
        </w:rPr>
        <w:t xml:space="preserve">A. The Americans with Disabilities Act (ADA)</w:t>
      </w:r>
    </w:p>
    <w:p>
      <w:pPr>
        <w:spacing w:after="120" w:before="80" w:line="320"/>
      </w:pPr>
      <w:r>
        <w:rPr>
          <w:rFonts w:ascii="Arial" w:cs="Arial" w:eastAsia="Arial" w:hAnsi="Arial"/>
          <w:sz w:val="22"/>
          <w:szCs w:val="22"/>
        </w:rPr>
        <w:t xml:space="preserve">The Americans with Disabilities Act of 1990 (Pub. L. 101-336, 42 U.S.C. § 12101 et seq.) is the primary federal civil rights statute prohibiting discrimination against individuals with disabilities. Two titles apply directly to Capital One.</w:t>
      </w:r>
    </w:p>
    <w:p>
      <w:pPr>
        <w:pStyle w:val="Heading3"/>
        <w:spacing w:after="80" w:before="240"/>
      </w:pPr>
      <w:r>
        <w:rPr>
          <w:rFonts w:ascii="Arial" w:cs="Arial" w:eastAsia="Arial" w:hAnsi="Arial"/>
          <w:b/>
          <w:bCs/>
          <w:color w:val="2E5FA3"/>
          <w:sz w:val="24"/>
          <w:szCs w:val="24"/>
        </w:rPr>
        <w:t xml:space="preserve">1. ADA Title III — Public Accommodations</w:t>
      </w:r>
    </w:p>
    <w:p>
      <w:pPr>
        <w:spacing w:after="120" w:before="80" w:line="320"/>
      </w:pPr>
      <w:r>
        <w:rPr>
          <w:rFonts w:ascii="Arial" w:cs="Arial" w:eastAsia="Arial" w:hAnsi="Arial"/>
          <w:sz w:val="22"/>
          <w:szCs w:val="22"/>
        </w:rPr>
        <w:t xml:space="preserve">Capital One's retail banking operations — including its physical branches, Cafes, and associated digital infrastructure — constitute a 'place of public accommodation' under ADA Title III (42 U.S.C. § 12182). Title III requires that public accommodations 'take such steps as may be necessary to ensure that no individual with a disability is excluded, denied services, segregated, or otherwise treated differently.'</w:t>
      </w:r>
    </w:p>
    <w:p>
      <w:pPr>
        <w:spacing w:after="120" w:before="80" w:line="320"/>
      </w:pPr>
      <w:r>
        <w:rPr>
          <w:rFonts w:ascii="Arial" w:cs="Arial" w:eastAsia="Arial" w:hAnsi="Arial"/>
          <w:sz w:val="22"/>
          <w:szCs w:val="22"/>
        </w:rPr>
        <w:t xml:space="preserve">The U.S. Department of Justice (DOJ) and the federal courts have consistently held, beginning with Robles v. Domino's Pizza (9th Cir. 2019) and affirmed in National Federation of the Blind v. Target Corp. (N.D. Cal. 2006), that websites and mobile applications of public accommodations are covered under Title III when they have a sufficient nexus to a physical place of business — a standard Capital One clearly meets. Capital One operates hundreds of physical branch locations and Cafe locations nationwide.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160"/>
              <w:bottom w:type="dxa" w:w="120"/>
              <w:right w:type="dxa" w:w="160"/>
            </w:tcMar>
          </w:tcPr>
          <w:p>
            <w:pPr>
              <w:spacing w:after="60" w:before="0"/>
            </w:pPr>
            <w:r>
              <w:rPr>
                <w:rFonts w:ascii="Arial" w:cs="Arial" w:eastAsia="Arial" w:hAnsi="Arial"/>
                <w:b/>
                <w:bCs/>
                <w:color w:val="8B1A1A"/>
                <w:sz w:val="20"/>
                <w:szCs w:val="20"/>
              </w:rPr>
              <w:t xml:space="preserve">CRITICAL FINDING</w:t>
            </w:r>
          </w:p>
          <w:p>
            <w:pPr>
              <w:spacing w:after="0" w:before="0"/>
            </w:pPr>
            <w:r>
              <w:rPr>
                <w:rFonts w:ascii="Arial" w:cs="Arial" w:eastAsia="Arial" w:hAnsi="Arial"/>
                <w:color w:val="333333"/>
                <w:sz w:val="20"/>
                <w:szCs w:val="20"/>
              </w:rPr>
              <w:t xml:space="preserve">Capital One operates physical branch locations and Cafes across the United States. Its website, including the Contact Us page audited here, has an unambiguous nexus to those physical places of public accommodation. Title III applies in full.</w:t>
            </w:r>
          </w:p>
        </w:tc>
      </w:tr>
    </w:tbl>
    <w:p>
      <w:pPr>
        <w:spacing w:after="80" w:before="0"/>
      </w:pPr>
      <w:r>
        <w:t xml:space="preserve"/>
      </w:r>
    </w:p>
    <w:p>
      <w:pPr>
        <w:pStyle w:val="Heading3"/>
        <w:spacing w:after="80" w:before="240"/>
      </w:pPr>
      <w:r>
        <w:rPr>
          <w:rFonts w:ascii="Arial" w:cs="Arial" w:eastAsia="Arial" w:hAnsi="Arial"/>
          <w:b/>
          <w:bCs/>
          <w:color w:val="2E5FA3"/>
          <w:sz w:val="24"/>
          <w:szCs w:val="24"/>
        </w:rPr>
        <w:t xml:space="preserve">2. ADA Title II — Federal Programs (Indirect Applicability)</w:t>
      </w:r>
    </w:p>
    <w:p>
      <w:pPr>
        <w:spacing w:after="120" w:before="80" w:line="320"/>
      </w:pPr>
      <w:r>
        <w:rPr>
          <w:rFonts w:ascii="Arial" w:cs="Arial" w:eastAsia="Arial" w:hAnsi="Arial"/>
          <w:sz w:val="22"/>
          <w:szCs w:val="22"/>
        </w:rPr>
        <w:t xml:space="preserve">ADA Title II (42 U.S.C. § 12131 et seq.) applies to state and local government entities. While Capital One is a private corporation, Title II is relevant in two respects: (a) Capital One participates in federal programs administered by government entities subject to Title II; and (b) the DOJ's 2024 Final Rule implementing Title II for web accessibility establishes WCAG 2.1 AA as the definitive federal technical standard, creating a de facto benchmark that courts and regulators apply to private entities under Title III as well.</w:t>
      </w:r>
    </w:p>
    <w:p>
      <w:pPr>
        <w:pStyle w:val="Heading2"/>
        <w:spacing w:after="120" w:before="360"/>
      </w:pPr>
      <w:r>
        <w:rPr>
          <w:rFonts w:ascii="Arial" w:cs="Arial" w:eastAsia="Arial" w:hAnsi="Arial"/>
          <w:b/>
          <w:bCs/>
          <w:color w:val="1B3A6B"/>
          <w:sz w:val="28"/>
          <w:szCs w:val="28"/>
        </w:rPr>
        <w:t xml:space="preserve">B. The Rehabilitation Act of 1973 — Section 508</w:t>
      </w:r>
    </w:p>
    <w:p>
      <w:pPr>
        <w:spacing w:after="120" w:before="80" w:line="320"/>
      </w:pPr>
      <w:r>
        <w:rPr>
          <w:rFonts w:ascii="Arial" w:cs="Arial" w:eastAsia="Arial" w:hAnsi="Arial"/>
          <w:sz w:val="22"/>
          <w:szCs w:val="22"/>
        </w:rPr>
        <w:t xml:space="preserve">Section 508 of the Rehabilitation Act (29 U.S.C. § 794d), as amended by the Workforce Investment Act of 1998, requires that electronic and information technology developed, procured, maintained, or used by the federal government — and by entities receiving federal financial assistance — be accessible to people with disabilities.</w:t>
      </w:r>
    </w:p>
    <w:p>
      <w:pPr>
        <w:spacing w:after="120" w:before="80" w:line="320"/>
      </w:pPr>
      <w:r>
        <w:rPr>
          <w:rFonts w:ascii="Arial" w:cs="Arial" w:eastAsia="Arial" w:hAnsi="Arial"/>
          <w:sz w:val="22"/>
          <w:szCs w:val="22"/>
        </w:rPr>
        <w:t xml:space="preserve">Capital One is subject to Section 508 obligations as a recipient of federal financial assistance and as a participant in federal programs including, but not limited to:</w:t>
      </w:r>
    </w:p>
    <w:p>
      <w:pPr>
        <w:pStyle w:val="ListParagraph"/>
        <w:numPr>
          <w:ilvl w:val="0"/>
          <w:numId w:val="2"/>
        </w:numPr>
        <w:spacing w:after="60" w:before="60" w:line="300"/>
      </w:pPr>
      <w:r>
        <w:rPr>
          <w:rFonts w:ascii="Arial" w:cs="Arial" w:eastAsia="Arial" w:hAnsi="Arial"/>
          <w:b w:val="false"/>
          <w:bCs w:val="false"/>
          <w:sz w:val="22"/>
          <w:szCs w:val="22"/>
        </w:rPr>
        <w:t xml:space="preserve">Small Business Administration (SBA) loan guarantee programs</w:t>
      </w:r>
    </w:p>
    <w:p>
      <w:pPr>
        <w:pStyle w:val="ListParagraph"/>
        <w:numPr>
          <w:ilvl w:val="0"/>
          <w:numId w:val="2"/>
        </w:numPr>
        <w:spacing w:after="60" w:before="60" w:line="300"/>
      </w:pPr>
      <w:r>
        <w:rPr>
          <w:rFonts w:ascii="Arial" w:cs="Arial" w:eastAsia="Arial" w:hAnsi="Arial"/>
          <w:b w:val="false"/>
          <w:bCs w:val="false"/>
          <w:sz w:val="22"/>
          <w:szCs w:val="22"/>
        </w:rPr>
        <w:t xml:space="preserve">Federal Reserve payment systems and Fedwire participation</w:t>
      </w:r>
    </w:p>
    <w:p>
      <w:pPr>
        <w:pStyle w:val="ListParagraph"/>
        <w:numPr>
          <w:ilvl w:val="0"/>
          <w:numId w:val="2"/>
        </w:numPr>
        <w:spacing w:after="60" w:before="60" w:line="300"/>
      </w:pPr>
      <w:r>
        <w:rPr>
          <w:rFonts w:ascii="Arial" w:cs="Arial" w:eastAsia="Arial" w:hAnsi="Arial"/>
          <w:b w:val="false"/>
          <w:bCs w:val="false"/>
          <w:sz w:val="22"/>
          <w:szCs w:val="22"/>
        </w:rPr>
        <w:t xml:space="preserve">U.S. Treasury Department programs (e.g., CDFI, NMTC, PPP)</w:t>
      </w:r>
    </w:p>
    <w:p>
      <w:pPr>
        <w:pStyle w:val="ListParagraph"/>
        <w:numPr>
          <w:ilvl w:val="0"/>
          <w:numId w:val="2"/>
        </w:numPr>
        <w:spacing w:after="60" w:before="60" w:line="300"/>
      </w:pPr>
      <w:r>
        <w:rPr>
          <w:rFonts w:ascii="Arial" w:cs="Arial" w:eastAsia="Arial" w:hAnsi="Arial"/>
          <w:b w:val="false"/>
          <w:bCs w:val="false"/>
          <w:sz w:val="22"/>
          <w:szCs w:val="22"/>
        </w:rPr>
        <w:t xml:space="preserve">Federal Housing Administration (FHA) and Department of Veterans Affairs (VA) mortgage programs</w:t>
      </w:r>
    </w:p>
    <w:p>
      <w:pPr>
        <w:pStyle w:val="ListParagraph"/>
        <w:numPr>
          <w:ilvl w:val="0"/>
          <w:numId w:val="2"/>
        </w:numPr>
        <w:spacing w:after="60" w:before="60" w:line="300"/>
      </w:pPr>
      <w:r>
        <w:rPr>
          <w:rFonts w:ascii="Arial" w:cs="Arial" w:eastAsia="Arial" w:hAnsi="Arial"/>
          <w:b w:val="false"/>
          <w:bCs w:val="false"/>
          <w:sz w:val="22"/>
          <w:szCs w:val="22"/>
        </w:rPr>
        <w:t xml:space="preserve">Community Reinvestment Act (CRA) examinations conducted by the OCC</w:t>
      </w:r>
    </w:p>
    <w:p>
      <w:pPr>
        <w:spacing w:after="80" w:before="0"/>
      </w:pPr>
      <w:r>
        <w:t xml:space="preserve"/>
      </w:r>
    </w:p>
    <w:p>
      <w:pPr>
        <w:spacing w:after="120" w:before="80" w:line="320"/>
      </w:pPr>
      <w:r>
        <w:rPr>
          <w:rFonts w:ascii="Arial" w:cs="Arial" w:eastAsia="Arial" w:hAnsi="Arial"/>
          <w:sz w:val="22"/>
          <w:szCs w:val="22"/>
        </w:rPr>
        <w:t xml:space="preserve">Section 508 adopts the WCAG 2.0 Level AA standards as its technical baseline (36 C.F.R. Part 1194). Capital One's web properties used in connection with any federally assisted program must conform to those standards.</w:t>
      </w:r>
    </w:p>
    <w:p>
      <w:pPr>
        <w:pStyle w:val="Heading2"/>
        <w:spacing w:after="120" w:before="360"/>
      </w:pPr>
      <w:r>
        <w:rPr>
          <w:rFonts w:ascii="Arial" w:cs="Arial" w:eastAsia="Arial" w:hAnsi="Arial"/>
          <w:b/>
          <w:bCs/>
          <w:color w:val="1B3A6B"/>
          <w:sz w:val="28"/>
          <w:szCs w:val="28"/>
        </w:rPr>
        <w:t xml:space="preserve">C. The DOJ's 2024 Final Rule — Web Accessibility as Federal Law</w:t>
      </w:r>
    </w:p>
    <w:p>
      <w:pPr>
        <w:spacing w:after="120" w:before="80" w:line="320"/>
      </w:pPr>
      <w:r>
        <w:rPr>
          <w:rFonts w:ascii="Arial" w:cs="Arial" w:eastAsia="Arial" w:hAnsi="Arial"/>
          <w:sz w:val="22"/>
          <w:szCs w:val="22"/>
        </w:rPr>
        <w:t xml:space="preserve">On April 24, 2024, the U.S. Department of Justice published a Final Rule (89 Fed. Reg. 31320) amending regulations under ADA Title II (28 C.F.R. Part 35) to explicitly require that covered entities conform to WCAG 2.1 Level AA. This rule:</w:t>
      </w:r>
    </w:p>
    <w:p>
      <w:pPr>
        <w:pStyle w:val="ListParagraph"/>
        <w:numPr>
          <w:ilvl w:val="0"/>
          <w:numId w:val="2"/>
        </w:numPr>
        <w:spacing w:after="60" w:before="60" w:line="300"/>
      </w:pPr>
      <w:r>
        <w:rPr>
          <w:rFonts w:ascii="Arial" w:cs="Arial" w:eastAsia="Arial" w:hAnsi="Arial"/>
          <w:b w:val="false"/>
          <w:bCs w:val="false"/>
          <w:sz w:val="22"/>
          <w:szCs w:val="22"/>
        </w:rPr>
        <w:t xml:space="preserve">Establishes WCAG 2.1 AA as the minimum technical standard for digital accessibility under federal law</w:t>
      </w:r>
    </w:p>
    <w:p>
      <w:pPr>
        <w:pStyle w:val="ListParagraph"/>
        <w:numPr>
          <w:ilvl w:val="0"/>
          <w:numId w:val="2"/>
        </w:numPr>
        <w:spacing w:after="60" w:before="60" w:line="300"/>
      </w:pPr>
      <w:r>
        <w:rPr>
          <w:rFonts w:ascii="Arial" w:cs="Arial" w:eastAsia="Arial" w:hAnsi="Arial"/>
          <w:b w:val="false"/>
          <w:bCs w:val="false"/>
          <w:sz w:val="22"/>
          <w:szCs w:val="22"/>
        </w:rPr>
        <w:t xml:space="preserve">Eliminates the 'safe harbor' argument that mere good-faith efforts satisfy the ADA</w:t>
      </w:r>
    </w:p>
    <w:p>
      <w:pPr>
        <w:pStyle w:val="ListParagraph"/>
        <w:numPr>
          <w:ilvl w:val="0"/>
          <w:numId w:val="2"/>
        </w:numPr>
        <w:spacing w:after="60" w:before="60" w:line="300"/>
      </w:pPr>
      <w:r>
        <w:rPr>
          <w:rFonts w:ascii="Arial" w:cs="Arial" w:eastAsia="Arial" w:hAnsi="Arial"/>
          <w:b w:val="false"/>
          <w:bCs w:val="false"/>
          <w:sz w:val="22"/>
          <w:szCs w:val="22"/>
        </w:rPr>
        <w:t xml:space="preserve">Provides a compliance timeline that has already passed for large entities</w:t>
      </w:r>
    </w:p>
    <w:p>
      <w:pPr>
        <w:pStyle w:val="ListParagraph"/>
        <w:numPr>
          <w:ilvl w:val="0"/>
          <w:numId w:val="2"/>
        </w:numPr>
        <w:spacing w:after="60" w:before="60" w:line="300"/>
      </w:pPr>
      <w:r>
        <w:rPr>
          <w:rFonts w:ascii="Arial" w:cs="Arial" w:eastAsia="Arial" w:hAnsi="Arial"/>
          <w:b w:val="false"/>
          <w:bCs w:val="false"/>
          <w:sz w:val="22"/>
          <w:szCs w:val="22"/>
        </w:rPr>
        <w:t xml:space="preserve">Although directed at government entities under Title II, the rule is routinely applied as the standard of care in Title III litigation against private entities including banks and financial institutions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6E0" w:val="clear"/>
            <w:tcMar>
              <w:top w:type="dxa" w:w="120"/>
              <w:left w:type="dxa" w:w="160"/>
              <w:bottom w:type="dxa" w:w="120"/>
              <w:right w:type="dxa" w:w="160"/>
            </w:tcMar>
          </w:tcPr>
          <w:p>
            <w:pPr>
              <w:spacing w:after="60" w:before="0"/>
            </w:pPr>
            <w:r>
              <w:rPr>
                <w:rFonts w:ascii="Arial" w:cs="Arial" w:eastAsia="Arial" w:hAnsi="Arial"/>
                <w:b/>
                <w:bCs/>
                <w:color w:val="7A5200"/>
                <w:sz w:val="20"/>
                <w:szCs w:val="20"/>
              </w:rPr>
              <w:t xml:space="preserve">IMPORTANT NOTE</w:t>
            </w:r>
          </w:p>
          <w:p>
            <w:pPr>
              <w:spacing w:after="0" w:before="0"/>
            </w:pPr>
            <w:r>
              <w:rPr>
                <w:rFonts w:ascii="Arial" w:cs="Arial" w:eastAsia="Arial" w:hAnsi="Arial"/>
                <w:color w:val="333333"/>
                <w:sz w:val="20"/>
                <w:szCs w:val="20"/>
              </w:rPr>
              <w:t xml:space="preserve">The DOJ's 2024 Final Rule has solidified WCAG 2.1 Level AA as the de facto minimum federal standard. Courts adjudicating Title III claims against private entities, including financial institutions, reference this rule in determining whether a defendant's digital properties are accessible.</w:t>
            </w:r>
          </w:p>
        </w:tc>
      </w:tr>
    </w:tbl>
    <w:p>
      <w:pPr>
        <w:spacing w:after="80" w:before="0"/>
      </w:pPr>
      <w:r>
        <w:t xml:space="preserve"/>
      </w:r>
    </w:p>
    <w:p>
      <w:pPr>
        <w:pStyle w:val="Heading2"/>
        <w:spacing w:after="120" w:before="360"/>
      </w:pPr>
      <w:r>
        <w:rPr>
          <w:rFonts w:ascii="Arial" w:cs="Arial" w:eastAsia="Arial" w:hAnsi="Arial"/>
          <w:b/>
          <w:bCs/>
          <w:color w:val="1B3A6B"/>
          <w:sz w:val="28"/>
          <w:szCs w:val="28"/>
        </w:rPr>
        <w:t xml:space="preserve">D. Consumer Financial Protection Bureau (CFPB) Regulations</w:t>
      </w:r>
    </w:p>
    <w:p>
      <w:pPr>
        <w:spacing w:after="120" w:before="80" w:line="320"/>
      </w:pPr>
      <w:r>
        <w:rPr>
          <w:rFonts w:ascii="Arial" w:cs="Arial" w:eastAsia="Arial" w:hAnsi="Arial"/>
          <w:sz w:val="22"/>
          <w:szCs w:val="22"/>
        </w:rPr>
        <w:t xml:space="preserve">The CFPB has authority under the Dodd-Frank Wall Street Reform and Consumer Protection Act (12 U.S.C. § 5481 et seq.) to prohibit unfair, deceptive, or abusive acts or practices (UDAAP) by covered entities. The CFPB has indicated in supervisory guidance that inaccessible digital financial products and services — particularly those involving account management, dispute resolution, and customer contact — may constitute unfair or abusive practices toward consumers with disabilities.</w:t>
      </w:r>
    </w:p>
    <w:p>
      <w:pPr>
        <w:spacing w:after="120" w:before="80" w:line="320"/>
      </w:pPr>
      <w:r>
        <w:rPr>
          <w:rFonts w:ascii="Arial" w:cs="Arial" w:eastAsia="Arial" w:hAnsi="Arial"/>
          <w:sz w:val="22"/>
          <w:szCs w:val="22"/>
        </w:rPr>
        <w:t xml:space="preserve">Capital One's Contact Us page is a core customer service touchpoint enabling consumers to dispute charges, report fraud, request SCRA benefits, and resolve account issues. Inaccessibility of this page for users relying on screen readers or keyboard navigation may independently trigger CFPB scrutiny under UDAAP authority.</w:t>
      </w:r>
    </w:p>
    <w:p>
      <w:pPr>
        <w:pStyle w:val="Heading2"/>
        <w:spacing w:after="120" w:before="360"/>
      </w:pPr>
      <w:r>
        <w:rPr>
          <w:rFonts w:ascii="Arial" w:cs="Arial" w:eastAsia="Arial" w:hAnsi="Arial"/>
          <w:b/>
          <w:bCs/>
          <w:color w:val="1B3A6B"/>
          <w:sz w:val="28"/>
          <w:szCs w:val="28"/>
        </w:rPr>
        <w:t xml:space="preserve">E. Office of the Comptroller of the Currency (OCC) — Federal Charter Obligations</w:t>
      </w:r>
    </w:p>
    <w:p>
      <w:pPr>
        <w:spacing w:after="120" w:before="80" w:line="320"/>
      </w:pPr>
      <w:r>
        <w:rPr>
          <w:rFonts w:ascii="Arial" w:cs="Arial" w:eastAsia="Arial" w:hAnsi="Arial"/>
          <w:sz w:val="22"/>
          <w:szCs w:val="22"/>
        </w:rPr>
        <w:t xml:space="preserve">Capital One, N.A. operates under a national bank charter issued and supervised by the OCC (12 U.S.C. § 1 et seq.). The OCC's Community Reinvestment Act examination framework assesses the extent to which national banks serve the credit needs of all segments of their communities, including persons with disabilities. Inaccessible digital banking infrastructure is increasingly scrutinized during CRA performance reviews.</w:t>
      </w:r>
    </w:p>
    <w:p>
      <w:pPr>
        <w:pStyle w:val="Heading2"/>
        <w:spacing w:after="120" w:before="360"/>
      </w:pPr>
      <w:r>
        <w:rPr>
          <w:rFonts w:ascii="Arial" w:cs="Arial" w:eastAsia="Arial" w:hAnsi="Arial"/>
          <w:b/>
          <w:bCs/>
          <w:color w:val="1B3A6B"/>
          <w:sz w:val="28"/>
          <w:szCs w:val="28"/>
        </w:rPr>
        <w:t xml:space="preserve">F. State Law Supplemental Obligations</w:t>
      </w:r>
    </w:p>
    <w:p>
      <w:pPr>
        <w:spacing w:after="120" w:before="80" w:line="320"/>
      </w:pPr>
      <w:r>
        <w:rPr>
          <w:rFonts w:ascii="Arial" w:cs="Arial" w:eastAsia="Arial" w:hAnsi="Arial"/>
          <w:sz w:val="22"/>
          <w:szCs w:val="22"/>
        </w:rPr>
        <w:t xml:space="preserve">In addition to federal obligations, Capital One operates across states with independent digital accessibility requirements. California's Unruh Civil Rights Act (Cal. Civ. Code § 51 et seq.) provides a private right of action for $4,000 per violation — with no cap — for websites that violate WCAG. New York Human Rights Law offers similar protections. These laws provide supplemental grounds for litigation in states where Capital One has the largest customer concentrations.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160"/>
              <w:bottom w:type="dxa" w:w="120"/>
              <w:right w:type="dxa" w:w="160"/>
            </w:tcMar>
          </w:tcPr>
          <w:p>
            <w:pPr>
              <w:spacing w:after="60" w:before="0"/>
            </w:pPr>
            <w:r>
              <w:rPr>
                <w:rFonts w:ascii="Arial" w:cs="Arial" w:eastAsia="Arial" w:hAnsi="Arial"/>
                <w:b/>
                <w:bCs/>
                <w:color w:val="8B1A1A"/>
                <w:sz w:val="20"/>
                <w:szCs w:val="20"/>
              </w:rPr>
              <w:t xml:space="preserve">CRITICAL FINDING</w:t>
            </w:r>
          </w:p>
          <w:p>
            <w:pPr>
              <w:spacing w:after="0" w:before="0"/>
            </w:pPr>
            <w:r>
              <w:rPr>
                <w:rFonts w:ascii="Arial" w:cs="Arial" w:eastAsia="Arial" w:hAnsi="Arial"/>
                <w:color w:val="333333"/>
                <w:sz w:val="20"/>
                <w:szCs w:val="20"/>
              </w:rPr>
              <w:t xml:space="preserve">CONCLUSION ON LEGAL OBLIGATIONS: Capital One Financial Corporation is subject to mandatory digital accessibility requirements under: (1) ADA Title III (public accommodation); (2) Section 508 as a federal program participant; (3) WCAG 2.1 AA as codified in the DOJ 2024 Final Rule; (4) CFPB UDAAP authority; (5) OCC CRA examination; and (6) applicable state civil rights laws. There is no ambiguity regarding whether Capital One must maintain accessible web properties. It must.</w:t>
            </w:r>
          </w:p>
        </w:tc>
      </w:tr>
    </w:tbl>
    <w:p>
      <w:pPr>
        <w:spacing w:after="160" w:before="0"/>
      </w:pPr>
      <w:r>
        <w:t xml:space="preserve"/>
      </w:r>
    </w:p>
    <w:p>
      <w:pPr>
        <w:pStyle w:val="Heading1"/>
        <w:pBdr>
          <w:bottom w:val="single" w:color="2E5FA3" w:sz="6" w:space="4"/>
        </w:pBdr>
        <w:spacing w:after="160" w:before="400"/>
      </w:pPr>
      <w:r>
        <w:rPr>
          <w:rFonts w:ascii="Arial" w:cs="Arial" w:eastAsia="Arial" w:hAnsi="Arial"/>
          <w:b/>
          <w:bCs/>
          <w:color w:val="1B3A6B"/>
          <w:sz w:val="36"/>
          <w:szCs w:val="36"/>
        </w:rPr>
        <w:t xml:space="preserve">III. SCOPE AND METHODOLOGY</w:t>
      </w:r>
    </w:p>
    <w:p>
      <w:pPr>
        <w:pStyle w:val="Heading2"/>
        <w:spacing w:after="120" w:before="360"/>
      </w:pPr>
      <w:r>
        <w:rPr>
          <w:rFonts w:ascii="Arial" w:cs="Arial" w:eastAsia="Arial" w:hAnsi="Arial"/>
          <w:b/>
          <w:bCs/>
          <w:color w:val="1B3A6B"/>
          <w:sz w:val="28"/>
          <w:szCs w:val="28"/>
        </w:rPr>
        <w:t xml:space="preserve">A. Audit Scope</w:t>
      </w:r>
    </w:p>
    <w:p>
      <w:pPr>
        <w:spacing w:after="120" w:before="80" w:line="320"/>
      </w:pPr>
      <w:r>
        <w:rPr>
          <w:rFonts w:ascii="Arial" w:cs="Arial" w:eastAsia="Arial" w:hAnsi="Arial"/>
          <w:sz w:val="22"/>
          <w:szCs w:val="22"/>
        </w:rPr>
        <w:t xml:space="preserve">This audit covers the following URL:</w:t>
      </w:r>
    </w:p>
    <w:p>
      <w:pPr>
        <w:pStyle w:val="ListParagraph"/>
        <w:numPr>
          <w:ilvl w:val="0"/>
          <w:numId w:val="2"/>
        </w:numPr>
        <w:spacing w:after="60" w:before="60" w:line="300"/>
      </w:pPr>
      <w:r>
        <w:rPr>
          <w:rFonts w:ascii="Arial" w:cs="Arial" w:eastAsia="Arial" w:hAnsi="Arial"/>
          <w:b w:val="false"/>
          <w:bCs w:val="false"/>
          <w:sz w:val="22"/>
          <w:szCs w:val="22"/>
        </w:rPr>
        <w:t xml:space="preserve">Primary: https://www.capitalone.com/help-center/contact-us/</w:t>
      </w:r>
    </w:p>
    <w:p>
      <w:pPr>
        <w:pStyle w:val="ListParagraph"/>
        <w:numPr>
          <w:ilvl w:val="0"/>
          <w:numId w:val="2"/>
        </w:numPr>
        <w:spacing w:after="60" w:before="60" w:line="300"/>
      </w:pPr>
      <w:r>
        <w:rPr>
          <w:rFonts w:ascii="Arial" w:cs="Arial" w:eastAsia="Arial" w:hAnsi="Arial"/>
          <w:b w:val="false"/>
          <w:bCs w:val="false"/>
          <w:sz w:val="22"/>
          <w:szCs w:val="22"/>
        </w:rPr>
        <w:t xml:space="preserve">Includes: Navigation structure, main content, tab panels, contact information, mailing addresses, footer, and social media links</w:t>
      </w:r>
    </w:p>
    <w:p>
      <w:pPr>
        <w:pStyle w:val="ListParagraph"/>
        <w:numPr>
          <w:ilvl w:val="0"/>
          <w:numId w:val="2"/>
        </w:numPr>
        <w:spacing w:after="60" w:before="60" w:line="300"/>
      </w:pPr>
      <w:r>
        <w:rPr>
          <w:rFonts w:ascii="Arial" w:cs="Arial" w:eastAsia="Arial" w:hAnsi="Arial"/>
          <w:b w:val="false"/>
          <w:bCs w:val="false"/>
          <w:sz w:val="22"/>
          <w:szCs w:val="22"/>
        </w:rPr>
        <w:t xml:space="preserve">Excludes: Dynamic content loaded post-login, JavaScript-dependent interactions requiring browser session state</w:t>
      </w:r>
    </w:p>
    <w:p>
      <w:pPr>
        <w:spacing w:after="80" w:before="0"/>
      </w:pPr>
      <w:r>
        <w:t xml:space="preserve"/>
      </w:r>
    </w:p>
    <w:p>
      <w:pPr>
        <w:pStyle w:val="Heading2"/>
        <w:spacing w:after="120" w:before="360"/>
      </w:pPr>
      <w:r>
        <w:rPr>
          <w:rFonts w:ascii="Arial" w:cs="Arial" w:eastAsia="Arial" w:hAnsi="Arial"/>
          <w:b/>
          <w:bCs/>
          <w:color w:val="1B3A6B"/>
          <w:sz w:val="28"/>
          <w:szCs w:val="28"/>
        </w:rPr>
        <w:t xml:space="preserve">B. Methodology</w:t>
      </w:r>
    </w:p>
    <w:p>
      <w:pPr>
        <w:spacing w:after="120" w:before="80" w:line="320"/>
      </w:pPr>
      <w:r>
        <w:rPr>
          <w:rFonts w:ascii="Arial" w:cs="Arial" w:eastAsia="Arial" w:hAnsi="Arial"/>
          <w:sz w:val="22"/>
          <w:szCs w:val="22"/>
        </w:rPr>
        <w:t xml:space="preserve">The audit was conducted using the following approach:</w:t>
      </w:r>
    </w:p>
    <w:p>
      <w:pPr>
        <w:pStyle w:val="ListParagraph"/>
        <w:numPr>
          <w:ilvl w:val="0"/>
          <w:numId w:val="2"/>
        </w:numPr>
        <w:spacing w:after="60" w:before="60" w:line="300"/>
      </w:pPr>
      <w:r>
        <w:rPr>
          <w:rFonts w:ascii="Arial" w:cs="Arial" w:eastAsia="Arial" w:hAnsi="Arial"/>
          <w:b w:val="false"/>
          <w:bCs w:val="false"/>
          <w:sz w:val="22"/>
          <w:szCs w:val="22"/>
        </w:rPr>
        <w:t xml:space="preserve">Structural HTML analysis via server-side fetch and markup review</w:t>
      </w:r>
    </w:p>
    <w:p>
      <w:pPr>
        <w:pStyle w:val="ListParagraph"/>
        <w:numPr>
          <w:ilvl w:val="0"/>
          <w:numId w:val="2"/>
        </w:numPr>
        <w:spacing w:after="60" w:before="60" w:line="300"/>
      </w:pPr>
      <w:r>
        <w:rPr>
          <w:rFonts w:ascii="Arial" w:cs="Arial" w:eastAsia="Arial" w:hAnsi="Arial"/>
          <w:b w:val="false"/>
          <w:bCs w:val="false"/>
          <w:sz w:val="22"/>
          <w:szCs w:val="22"/>
        </w:rPr>
        <w:t xml:space="preserve">ARIA and semantic structure evaluation against WCAG 2.1 Level A and AA success criteria</w:t>
      </w:r>
    </w:p>
    <w:p>
      <w:pPr>
        <w:pStyle w:val="ListParagraph"/>
        <w:numPr>
          <w:ilvl w:val="0"/>
          <w:numId w:val="2"/>
        </w:numPr>
        <w:spacing w:after="60" w:before="60" w:line="300"/>
      </w:pPr>
      <w:r>
        <w:rPr>
          <w:rFonts w:ascii="Arial" w:cs="Arial" w:eastAsia="Arial" w:hAnsi="Arial"/>
          <w:b w:val="false"/>
          <w:bCs w:val="false"/>
          <w:sz w:val="22"/>
          <w:szCs w:val="22"/>
        </w:rPr>
        <w:t xml:space="preserve">Link purpose and navigation review against WCAG 2.4 requirements</w:t>
      </w:r>
    </w:p>
    <w:p>
      <w:pPr>
        <w:pStyle w:val="ListParagraph"/>
        <w:numPr>
          <w:ilvl w:val="0"/>
          <w:numId w:val="2"/>
        </w:numPr>
        <w:spacing w:after="60" w:before="60" w:line="300"/>
      </w:pPr>
      <w:r>
        <w:rPr>
          <w:rFonts w:ascii="Arial" w:cs="Arial" w:eastAsia="Arial" w:hAnsi="Arial"/>
          <w:b w:val="false"/>
          <w:bCs w:val="false"/>
          <w:sz w:val="22"/>
          <w:szCs w:val="22"/>
        </w:rPr>
        <w:t xml:space="preserve">Image alternative text audit against WCAG 1.1.1</w:t>
      </w:r>
    </w:p>
    <w:p>
      <w:pPr>
        <w:pStyle w:val="ListParagraph"/>
        <w:numPr>
          <w:ilvl w:val="0"/>
          <w:numId w:val="2"/>
        </w:numPr>
        <w:spacing w:after="60" w:before="60" w:line="300"/>
      </w:pPr>
      <w:r>
        <w:rPr>
          <w:rFonts w:ascii="Arial" w:cs="Arial" w:eastAsia="Arial" w:hAnsi="Arial"/>
          <w:b w:val="false"/>
          <w:bCs w:val="false"/>
          <w:sz w:val="22"/>
          <w:szCs w:val="22"/>
        </w:rPr>
        <w:t xml:space="preserve">Heading hierarchy analysis against WCAG 1.3.1 and 2.4.6</w:t>
      </w:r>
    </w:p>
    <w:p>
      <w:pPr>
        <w:pStyle w:val="ListParagraph"/>
        <w:numPr>
          <w:ilvl w:val="0"/>
          <w:numId w:val="2"/>
        </w:numPr>
        <w:spacing w:after="60" w:before="60" w:line="300"/>
      </w:pPr>
      <w:r>
        <w:rPr>
          <w:rFonts w:ascii="Arial" w:cs="Arial" w:eastAsia="Arial" w:hAnsi="Arial"/>
          <w:b w:val="false"/>
          <w:bCs w:val="false"/>
          <w:sz w:val="22"/>
          <w:szCs w:val="22"/>
        </w:rPr>
        <w:t xml:space="preserve">Form and interactive control assessment against WCAG 3.3 and 4.1.2</w:t>
      </w:r>
    </w:p>
    <w:p>
      <w:pPr>
        <w:pStyle w:val="ListParagraph"/>
        <w:numPr>
          <w:ilvl w:val="0"/>
          <w:numId w:val="2"/>
        </w:numPr>
        <w:spacing w:after="60" w:before="60" w:line="300"/>
      </w:pPr>
      <w:r>
        <w:rPr>
          <w:rFonts w:ascii="Arial" w:cs="Arial" w:eastAsia="Arial" w:hAnsi="Arial"/>
          <w:b w:val="false"/>
          <w:bCs w:val="false"/>
          <w:sz w:val="22"/>
          <w:szCs w:val="22"/>
        </w:rPr>
        <w:t xml:space="preserve">Note: Full dynamic testing with NVDA/JAWS screen readers and keyboard-only navigation is recommended as a follow-on Phase II audit</w:t>
      </w:r>
    </w:p>
    <w:p>
      <w:pPr>
        <w:spacing w:after="80" w:before="0"/>
      </w:pPr>
      <w:r>
        <w:t xml:space="preserve"/>
      </w:r>
    </w:p>
    <w:p>
      <w:pPr>
        <w:pStyle w:val="Heading2"/>
        <w:spacing w:after="120" w:before="360"/>
      </w:pPr>
      <w:r>
        <w:rPr>
          <w:rFonts w:ascii="Arial" w:cs="Arial" w:eastAsia="Arial" w:hAnsi="Arial"/>
          <w:b/>
          <w:bCs/>
          <w:color w:val="1B3A6B"/>
          <w:sz w:val="28"/>
          <w:szCs w:val="28"/>
        </w:rPr>
        <w:t xml:space="preserve">C. Standards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Primary Standard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WCAG 2.1 Level AA (W3C, June 2018)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Federal Baseline</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DOJ Final Rule, 28 C.F.R. Part 35 (April 2024)</w:t>
            </w:r>
          </w:p>
        </w:tc>
      </w:tr>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Section 508 Baseline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C.F.R. Part 1194 (WCAG 2.0 Level AA)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ARIA Practices</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WAI-ARIA Authoring Practices Guide 1.2</w:t>
            </w:r>
          </w:p>
        </w:tc>
      </w:tr>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Testing Tool Reference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axe-core 4.x ruleset</w:t>
            </w:r>
          </w:p>
        </w:tc>
      </w:tr>
    </w:tbl>
    <w:p>
      <w:pPr>
        <w:spacing w:after="160" w:before="0"/>
      </w:pPr>
      <w:r>
        <w:t xml:space="preserve"/>
      </w:r>
    </w:p>
    <w:p>
      <w:pPr>
        <w:pStyle w:val="Heading1"/>
        <w:pBdr>
          <w:bottom w:val="single" w:color="2E5FA3" w:sz="6" w:space="4"/>
        </w:pBdr>
        <w:spacing w:after="160" w:before="400"/>
      </w:pPr>
      <w:r>
        <w:rPr>
          <w:rFonts w:ascii="Arial" w:cs="Arial" w:eastAsia="Arial" w:hAnsi="Arial"/>
          <w:b/>
          <w:bCs/>
          <w:color w:val="1B3A6B"/>
          <w:sz w:val="36"/>
          <w:szCs w:val="36"/>
        </w:rPr>
        <w:t xml:space="preserve">IV. DETAILED FINDINGS</w:t>
      </w:r>
    </w:p>
    <w:p>
      <w:pPr>
        <w:pStyle w:val="Heading2"/>
        <w:spacing w:after="120" w:before="360"/>
      </w:pPr>
      <w:r>
        <w:rPr>
          <w:rFonts w:ascii="Arial" w:cs="Arial" w:eastAsia="Arial" w:hAnsi="Arial"/>
          <w:b/>
          <w:bCs/>
          <w:color w:val="1B3A6B"/>
          <w:sz w:val="28"/>
          <w:szCs w:val="28"/>
        </w:rPr>
        <w:t xml:space="preserve">A. Critical Issues — Probable WCAG Level A Failures</w:t>
      </w:r>
    </w:p>
    <w:p>
      <w:pPr>
        <w:spacing w:after="120" w:before="80" w:line="320"/>
      </w:pPr>
      <w:r>
        <w:rPr>
          <w:rFonts w:ascii="Arial" w:cs="Arial" w:eastAsia="Arial" w:hAnsi="Arial"/>
          <w:sz w:val="22"/>
          <w:szCs w:val="22"/>
        </w:rPr>
        <w:t xml:space="preserve">The following issues represent the highest severity findings. WCAG Level A criteria are the minimum requirements; failure to meet them constitutes a fundamental accessibility barrier.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800"/>
        <w:gridCol w:w="1100"/>
        <w:gridCol w:w="20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WCAG Criterion</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Navigation icon images lack alt text or decorative marking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1.1.1 Non-text Content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8B1A1A"/>
                <w:sz w:val="18"/>
                <w:szCs w:val="18"/>
              </w:rPr>
              <w:t xml:space="preserve">Critical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alt="" to all decorative nav icons; add descriptive alt to informational images</w:t>
            </w:r>
          </w:p>
        </w:tc>
      </w:tr>
      <w:tr>
        <w:tc>
          <w:tcPr>
            <w:tcW w:type="dxa" w:w="3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Equal Housing Opportunity logo has no alt attribute</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1.1.1 Non-text Content</w:t>
            </w:r>
          </w:p>
        </w:tc>
        <w:tc>
          <w:tcPr>
            <w:tcW w:type="dxa" w:w="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8B1A1A"/>
                <w:sz w:val="18"/>
                <w:szCs w:val="18"/>
              </w:rPr>
              <w:t xml:space="preserve">Critical</w:t>
            </w:r>
          </w:p>
        </w:tc>
        <w:tc>
          <w:tcPr>
            <w:tcW w:type="dxa" w:w="20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Add alt="Equal Housing Opportunity Lender" — legally significant symbol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Duplicate H2 heading 'Find the support you need' appears twice in DOM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2.4.6 Headings &amp; Labels; 1.3.1 Info &amp; Relationships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8B1A1A"/>
                <w:sz w:val="18"/>
                <w:szCs w:val="18"/>
              </w:rPr>
              <w:t xml:space="preserve">Critical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aria-hidden on duplicate; ensure only one heading is in the accessible DOM at a time</w:t>
            </w:r>
          </w:p>
        </w:tc>
      </w:tr>
      <w:tr>
        <w:tc>
          <w:tcPr>
            <w:tcW w:type="dxa" w:w="3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Marketing tile images (CreditWise, Auto, 360 Checking) lack alt attributes</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1.1.1 Non-text Content</w:t>
            </w:r>
          </w:p>
        </w:tc>
        <w:tc>
          <w:tcPr>
            <w:tcW w:type="dxa" w:w="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8B1A1A"/>
                <w:sz w:val="18"/>
                <w:szCs w:val="18"/>
              </w:rPr>
              <w:t xml:space="preserve">Critical</w:t>
            </w:r>
          </w:p>
        </w:tc>
        <w:tc>
          <w:tcPr>
            <w:tcW w:type="dxa" w:w="20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Determine informational vs. decorative role; apply appropriate alt text or alt=""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"Benefits &amp; Tools" nav uses href="javascript:void(0)" — not keyboard-operable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2.1.1 Keyboard; 4.1.2 Name, Role, Value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8B1A1A"/>
                <w:sz w:val="18"/>
                <w:szCs w:val="18"/>
              </w:rPr>
              <w:t xml:space="preserve">Critical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Replace with &lt;button aria-expanded aria-controls&gt; following ARIA Disclosure pattern</w:t>
            </w:r>
          </w:p>
        </w:tc>
      </w:tr>
      <w:tr>
        <w:tc>
          <w:tcPr>
            <w:tcW w:type="dxa" w:w="3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Fast answers section illustrations (Eno, search, megaphone, sign) lack alt text</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1.1.1 Non-text Content</w:t>
            </w:r>
          </w:p>
        </w:tc>
        <w:tc>
          <w:tcPr>
            <w:tcW w:type="dxa" w:w="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8B1A1A"/>
                <w:sz w:val="18"/>
                <w:szCs w:val="18"/>
              </w:rPr>
              <w:t xml:space="preserve">Critical</w:t>
            </w:r>
          </w:p>
        </w:tc>
        <w:tc>
          <w:tcPr>
            <w:tcW w:type="dxa" w:w="20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Add alt="" if decorative; add contextual alt text if informational (e.g., alt="Chat with 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email or written electronic contact channel — phone is the only non-postal option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ADA 28 C.F.R. §36.303 Effective Communication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ADA / A</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8B1A1A"/>
                <w:sz w:val="18"/>
                <w:szCs w:val="18"/>
              </w:rPr>
              <w:t xml:space="preserve">Critical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Publish a monitored customer service email or accessible web contact form for all users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160"/>
              <w:bottom w:type="dxa" w:w="120"/>
              <w:right w:type="dxa" w:w="160"/>
            </w:tcMar>
          </w:tcPr>
          <w:p>
            <w:pPr>
              <w:spacing w:after="60" w:before="0"/>
            </w:pPr>
            <w:r>
              <w:rPr>
                <w:rFonts w:ascii="Arial" w:cs="Arial" w:eastAsia="Arial" w:hAnsi="Arial"/>
                <w:b/>
                <w:bCs/>
                <w:color w:val="8B1A1A"/>
                <w:sz w:val="20"/>
                <w:szCs w:val="20"/>
              </w:rPr>
              <w:t xml:space="preserve">CRITICAL FINDING</w:t>
            </w:r>
          </w:p>
          <w:p>
            <w:pPr>
              <w:spacing w:after="0" w:before="0"/>
            </w:pPr>
            <w:r>
              <w:rPr>
                <w:rFonts w:ascii="Arial" w:cs="Arial" w:eastAsia="Arial" w:hAnsi="Arial"/>
                <w:color w:val="333333"/>
                <w:sz w:val="20"/>
                <w:szCs w:val="20"/>
              </w:rPr>
              <w:t xml:space="preserve">STANDALONE ADA VIOLATION — NO EMAIL CONTACT AVAILABLE: The Contact Us page offers phone calls, app-based Eno chat, U.S. Mail, and physical branches as its contact channels. No email address or accessible web-based contact form is provided for users who cannot use the telephone. Under 28 C.F.R. § 36.303, public accommodations must provide auxiliary aids and services to afford persons with disabilities equal access to their services. For users who are deaf, hard of hearing, have speech disabilities, severe anxiety, or cognitive disabilities that prevent phone use, the absence of any written electronic contact channel is an independent ADA violation — separate from and in addition to all WCAG deficiencies identified in this audit.</w:t>
            </w:r>
          </w:p>
        </w:tc>
      </w:tr>
    </w:tbl>
    <w:p>
      <w:pPr>
        <w:spacing w:after="80" w:before="0"/>
      </w:pPr>
      <w:r>
        <w:t xml:space="preserve"/>
      </w:r>
    </w:p>
    <w:p>
      <w:pPr>
        <w:pStyle w:val="Heading3"/>
        <w:spacing w:after="80" w:before="240"/>
      </w:pPr>
      <w:r>
        <w:rPr>
          <w:rFonts w:ascii="Arial" w:cs="Arial" w:eastAsia="Arial" w:hAnsi="Arial"/>
          <w:b/>
          <w:bCs/>
          <w:color w:val="2E5FA3"/>
          <w:sz w:val="24"/>
          <w:szCs w:val="24"/>
        </w:rPr>
        <w:t xml:space="preserve">Who Is Harmed by the Missing Email Contact</w:t>
      </w:r>
    </w:p>
    <w:p>
      <w:pPr>
        <w:spacing w:after="120" w:before="80" w:line="320"/>
      </w:pPr>
      <w:r>
        <w:rPr>
          <w:rFonts w:ascii="Arial" w:cs="Arial" w:eastAsia="Arial" w:hAnsi="Arial"/>
          <w:sz w:val="22"/>
          <w:szCs w:val="22"/>
        </w:rPr>
        <w:t xml:space="preserve">The following disability categories are directly and materially affected by the absence of a written electronic contact channel:</w:t>
      </w:r>
    </w:p>
    <w:p>
      <w:pPr>
        <w:pStyle w:val="ListParagraph"/>
        <w:numPr>
          <w:ilvl w:val="0"/>
          <w:numId w:val="2"/>
        </w:numPr>
        <w:spacing w:after="60" w:before="60" w:line="300"/>
      </w:pPr>
      <w:r>
        <w:rPr>
          <w:rFonts w:ascii="Arial" w:cs="Arial" w:eastAsia="Arial" w:hAnsi="Arial"/>
          <w:b w:val="false"/>
          <w:bCs w:val="false"/>
          <w:sz w:val="22"/>
          <w:szCs w:val="22"/>
        </w:rPr>
        <w:t xml:space="preserve">Deaf and hard-of-hearing users: Cannot use voice telephone; TTY/relay services are cumbersome and no TTY number is prominently listed on this page</w:t>
      </w:r>
    </w:p>
    <w:p>
      <w:pPr>
        <w:pStyle w:val="ListParagraph"/>
        <w:numPr>
          <w:ilvl w:val="0"/>
          <w:numId w:val="2"/>
        </w:numPr>
        <w:spacing w:after="60" w:before="60" w:line="300"/>
      </w:pPr>
      <w:r>
        <w:rPr>
          <w:rFonts w:ascii="Arial" w:cs="Arial" w:eastAsia="Arial" w:hAnsi="Arial"/>
          <w:b w:val="false"/>
          <w:bCs w:val="false"/>
          <w:sz w:val="22"/>
          <w:szCs w:val="22"/>
        </w:rPr>
        <w:t xml:space="preserve">Users with speech disabilities: Cannot communicate effectively via telephone under any circumstances</w:t>
      </w:r>
    </w:p>
    <w:p>
      <w:pPr>
        <w:pStyle w:val="ListParagraph"/>
        <w:numPr>
          <w:ilvl w:val="0"/>
          <w:numId w:val="2"/>
        </w:numPr>
        <w:spacing w:after="60" w:before="60" w:line="300"/>
      </w:pPr>
      <w:r>
        <w:rPr>
          <w:rFonts w:ascii="Arial" w:cs="Arial" w:eastAsia="Arial" w:hAnsi="Arial"/>
          <w:b w:val="false"/>
          <w:bCs w:val="false"/>
          <w:sz w:val="22"/>
          <w:szCs w:val="22"/>
        </w:rPr>
        <w:t xml:space="preserve">Users with anxiety disorders, PTSD, or autism spectrum conditions: Many cannot tolerate telephone interactions; written email is a documented, commonly requested reasonable accommodation</w:t>
      </w:r>
    </w:p>
    <w:p>
      <w:pPr>
        <w:pStyle w:val="ListParagraph"/>
        <w:numPr>
          <w:ilvl w:val="0"/>
          <w:numId w:val="2"/>
        </w:numPr>
        <w:spacing w:after="60" w:before="60" w:line="300"/>
      </w:pPr>
      <w:r>
        <w:rPr>
          <w:rFonts w:ascii="Arial" w:cs="Arial" w:eastAsia="Arial" w:hAnsi="Arial"/>
          <w:b w:val="false"/>
          <w:bCs w:val="false"/>
          <w:sz w:val="22"/>
          <w:szCs w:val="22"/>
        </w:rPr>
        <w:t xml:space="preserve">Users with cognitive disabilities: Require written communication to process information at their own pace, re-read responses, and compose messages without real-time pressure</w:t>
      </w:r>
    </w:p>
    <w:p>
      <w:pPr>
        <w:pStyle w:val="ListParagraph"/>
        <w:numPr>
          <w:ilvl w:val="0"/>
          <w:numId w:val="2"/>
        </w:numPr>
        <w:spacing w:after="60" w:before="60" w:line="300"/>
      </w:pPr>
      <w:r>
        <w:rPr>
          <w:rFonts w:ascii="Arial" w:cs="Arial" w:eastAsia="Arial" w:hAnsi="Arial"/>
          <w:b w:val="false"/>
          <w:bCs w:val="false"/>
          <w:sz w:val="22"/>
          <w:szCs w:val="22"/>
        </w:rPr>
        <w:t xml:space="preserve">Users with motor disabilities: May be unable to operate a telephone handset or navigate a touch-tone IVR menu system</w:t>
      </w:r>
    </w:p>
    <w:p>
      <w:pPr>
        <w:spacing w:after="80" w:before="0"/>
      </w:pPr>
      <w:r>
        <w:t xml:space="preserve"/>
      </w:r>
    </w:p>
    <w:p>
      <w:pPr>
        <w:spacing w:after="120" w:before="80" w:line="320"/>
      </w:pPr>
      <w:r>
        <w:rPr>
          <w:rFonts w:ascii="Arial" w:cs="Arial" w:eastAsia="Arial" w:hAnsi="Arial"/>
          <w:sz w:val="22"/>
          <w:szCs w:val="22"/>
        </w:rPr>
        <w:t xml:space="preserve">Capital One's Eno chat requires an app download and active text messaging capability — it is not a universally accessible alternative. U.S. Mail introduces days-long delays for time-sensitive matters such as fraud reporting and dispute filing. No channel on this page constitutes an equivalent written electronic alternative for the populations above.</w:t>
      </w:r>
    </w:p>
    <w:p>
      <w:pPr>
        <w:spacing w:after="160" w:before="0"/>
      </w:pPr>
      <w:r>
        <w:t xml:space="preserve"/>
      </w:r>
    </w:p>
    <w:p>
      <w:pPr>
        <w:pStyle w:val="Heading2"/>
        <w:spacing w:after="120" w:before="360"/>
      </w:pPr>
      <w:r>
        <w:rPr>
          <w:rFonts w:ascii="Arial" w:cs="Arial" w:eastAsia="Arial" w:hAnsi="Arial"/>
          <w:b/>
          <w:bCs/>
          <w:color w:val="1B3A6B"/>
          <w:sz w:val="28"/>
          <w:szCs w:val="28"/>
        </w:rPr>
        <w:t xml:space="preserve">B. Moderate Issues — Probable WCAG Level AA Failures</w:t>
      </w:r>
    </w:p>
    <w:p>
      <w:pPr>
        <w:spacing w:after="120" w:before="80" w:line="320"/>
      </w:pPr>
      <w:r>
        <w:rPr>
          <w:rFonts w:ascii="Arial" w:cs="Arial" w:eastAsia="Arial" w:hAnsi="Arial"/>
          <w:sz w:val="22"/>
          <w:szCs w:val="22"/>
        </w:rPr>
        <w:t xml:space="preserve">These issues represent barriers that significantly impair usability for users with disabilities and likely constitute WCAG Level AA non-compliance when tested with assistive technology.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800"/>
        <w:gridCol w:w="1100"/>
        <w:gridCol w:w="20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WCAG Criterion</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 strip (Help topics / product tabs) missing ARIA tab roles and keyboard pattern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4.1.2 Name, Role, Value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A/AA</w:t>
            </w:r>
          </w:p>
        </w:tc>
        <w:tc>
          <w:tcPr>
            <w:tcW w:type="dxa" w:w="1100"/>
            <w:tcBorders>
              <w:top w:val="single" w:color="CCCCCC" w:sz="1"/>
              <w:left w:val="single" w:color="CCCCCC" w:sz="1"/>
              <w:bottom w:val="single" w:color="CCCCCC" w:sz="1"/>
              <w:right w:val="single" w:color="CCCCCC" w:sz="1"/>
            </w:tcBorders>
            <w:shd w:fill="FEF6E0" w:val="clear"/>
            <w:tcMar>
              <w:top w:type="dxa" w:w="80"/>
              <w:left w:type="dxa" w:w="120"/>
              <w:bottom w:type="dxa" w:w="80"/>
              <w:right w:type="dxa" w:w="120"/>
            </w:tcMar>
          </w:tcPr>
          <w:p>
            <w:r>
              <w:rPr>
                <w:rFonts w:ascii="Arial" w:cs="Arial" w:eastAsia="Arial" w:hAnsi="Arial"/>
                <w:b/>
                <w:bCs/>
                <w:color w:val="7A5200"/>
                <w:sz w:val="18"/>
                <w:szCs w:val="18"/>
              </w:rPr>
              <w:t xml:space="preserve">Moderate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 role="tablist", role="tab", aria-selected, aria-controls, and arrow-key navigation</w:t>
            </w:r>
          </w:p>
        </w:tc>
      </w:tr>
      <w:tr>
        <w:tc>
          <w:tcPr>
            <w:tcW w:type="dxa" w:w="3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Phone number tel: URIs contain malformed space (tel: 1-800 vs tel:1-800)</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2.4.4 Link Purpose in Context</w:t>
            </w:r>
          </w:p>
        </w:tc>
        <w:tc>
          <w:tcPr>
            <w:tcW w:type="dxa" w:w="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FEF6E0" w:val="clear"/>
            <w:tcMar>
              <w:top w:type="dxa" w:w="80"/>
              <w:left w:type="dxa" w:w="120"/>
              <w:bottom w:type="dxa" w:w="80"/>
              <w:right w:type="dxa" w:w="120"/>
            </w:tcMar>
          </w:tcPr>
          <w:p>
            <w:r>
              <w:rPr>
                <w:rFonts w:ascii="Arial" w:cs="Arial" w:eastAsia="Arial" w:hAnsi="Arial"/>
                <w:b/>
                <w:bCs/>
                <w:color w:val="7A5200"/>
                <w:sz w:val="18"/>
                <w:szCs w:val="18"/>
              </w:rPr>
              <w:t xml:space="preserve">Moderate</w:t>
            </w:r>
          </w:p>
        </w:tc>
        <w:tc>
          <w:tcPr>
            <w:tcW w:type="dxa" w:w="20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Remove space in URI; append aria-label with department context for out-of-context navigation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Exit dialog ("Leaving Capital One") likely not focus-trapped or announced as modal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2.4.3 Focus Order; 4.1.2 Name, Role, Value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FEF6E0" w:val="clear"/>
            <w:tcMar>
              <w:top w:type="dxa" w:w="80"/>
              <w:left w:type="dxa" w:w="120"/>
              <w:bottom w:type="dxa" w:w="80"/>
              <w:right w:type="dxa" w:w="120"/>
            </w:tcMar>
          </w:tcPr>
          <w:p>
            <w:r>
              <w:rPr>
                <w:rFonts w:ascii="Arial" w:cs="Arial" w:eastAsia="Arial" w:hAnsi="Arial"/>
                <w:b/>
                <w:bCs/>
                <w:color w:val="7A5200"/>
                <w:sz w:val="18"/>
                <w:szCs w:val="18"/>
              </w:rPr>
              <w:t xml:space="preserve">Moderate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role="dialog", aria-modal="true", aria-labelledby; implement focus trap; restore focus on close</w:t>
            </w:r>
          </w:p>
        </w:tc>
      </w:tr>
      <w:tr>
        <w:tc>
          <w:tcPr>
            <w:tcW w:type="dxa" w:w="3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Social media links duplicated in footer with identical text and destinations</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2.4.4 Link Purpose in Context</w:t>
            </w:r>
          </w:p>
        </w:tc>
        <w:tc>
          <w:tcPr>
            <w:tcW w:type="dxa" w:w="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FEF6E0" w:val="clear"/>
            <w:tcMar>
              <w:top w:type="dxa" w:w="80"/>
              <w:left w:type="dxa" w:w="120"/>
              <w:bottom w:type="dxa" w:w="80"/>
              <w:right w:type="dxa" w:w="120"/>
            </w:tcMar>
          </w:tcPr>
          <w:p>
            <w:r>
              <w:rPr>
                <w:rFonts w:ascii="Arial" w:cs="Arial" w:eastAsia="Arial" w:hAnsi="Arial"/>
                <w:b/>
                <w:bCs/>
                <w:color w:val="7A5200"/>
                <w:sz w:val="18"/>
                <w:szCs w:val="18"/>
              </w:rPr>
              <w:t xml:space="preserve">Moderate</w:t>
            </w:r>
          </w:p>
        </w:tc>
        <w:tc>
          <w:tcPr>
            <w:tcW w:type="dxa" w:w="20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Deduplicate or hide one set via aria-hidden; add aria-label with unique context if both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type select control may lack programmatic label association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1.3.1 Info &amp; Relationships; 3.3.2 Labels or Instructions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FEF6E0" w:val="clear"/>
            <w:tcMar>
              <w:top w:type="dxa" w:w="80"/>
              <w:left w:type="dxa" w:w="120"/>
              <w:bottom w:type="dxa" w:w="80"/>
              <w:right w:type="dxa" w:w="120"/>
            </w:tcMar>
          </w:tcPr>
          <w:p>
            <w:r>
              <w:rPr>
                <w:rFonts w:ascii="Arial" w:cs="Arial" w:eastAsia="Arial" w:hAnsi="Arial"/>
                <w:b/>
                <w:bCs/>
                <w:color w:val="7A5200"/>
                <w:sz w:val="18"/>
                <w:szCs w:val="18"/>
              </w:rPr>
              <w:t xml:space="preserve">Moderate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Verify &lt;label for&gt; or aria-labelledby association; test with screen reader in browser session</w:t>
            </w:r>
          </w:p>
        </w:tc>
      </w:tr>
    </w:tbl>
    <w:p>
      <w:pPr>
        <w:spacing w:after="160" w:before="0"/>
      </w:pPr>
      <w:r>
        <w:t xml:space="preserve"/>
      </w:r>
    </w:p>
    <w:p>
      <w:pPr>
        <w:pStyle w:val="Heading2"/>
        <w:spacing w:after="120" w:before="360"/>
      </w:pPr>
      <w:r>
        <w:rPr>
          <w:rFonts w:ascii="Arial" w:cs="Arial" w:eastAsia="Arial" w:hAnsi="Arial"/>
          <w:b/>
          <w:bCs/>
          <w:color w:val="1B3A6B"/>
          <w:sz w:val="28"/>
          <w:szCs w:val="28"/>
        </w:rPr>
        <w:t xml:space="preserve">C. Minor Issues — Best Practice Gaps</w:t>
      </w:r>
    </w:p>
    <w:p>
      <w:pPr>
        <w:spacing w:after="120" w:before="80" w:line="320"/>
      </w:pPr>
      <w:r>
        <w:rPr>
          <w:rFonts w:ascii="Arial" w:cs="Arial" w:eastAsia="Arial" w:hAnsi="Arial"/>
          <w:sz w:val="22"/>
          <w:szCs w:val="22"/>
        </w:rPr>
        <w:t xml:space="preserve">These items do not constitute definitive WCAG failures but represent gaps that reduce accessibility and may be raised during DOJ investigation or plaintiff discovery.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800"/>
        <w:gridCol w:w="1100"/>
        <w:gridCol w:w="20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WCAG Criterion</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Breadcrumb nav lacks aria-label to distinguish from main navigation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2.4.1 Bypass Blocks (best practice)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AA</w:t>
            </w:r>
          </w:p>
        </w:tc>
        <w:tc>
          <w:tcPr>
            <w:tcW w:type="dxa" w:w="11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color w:val="336699"/>
                <w:sz w:val="18"/>
                <w:szCs w:val="18"/>
              </w:rPr>
              <w:t xml:space="preserve">Minor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aria-label="Breadcrumb" to the breadcrumb &lt;nav&gt; element</w:t>
            </w:r>
          </w:p>
        </w:tc>
      </w:tr>
      <w:tr>
        <w:tc>
          <w:tcPr>
            <w:tcW w:type="dxa" w:w="3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Footnote asterisk (*) not programmatically linked to its note</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1.3.3 Sensory Characteristics</w:t>
            </w:r>
          </w:p>
        </w:tc>
        <w:tc>
          <w:tcPr>
            <w:tcW w:type="dxa" w:w="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color w:val="336699"/>
                <w:sz w:val="18"/>
                <w:szCs w:val="18"/>
              </w:rPr>
              <w:t xml:space="preserve">Minor</w:t>
            </w:r>
          </w:p>
        </w:tc>
        <w:tc>
          <w:tcPr>
            <w:tcW w:type="dxa" w:w="20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Use &lt;sup&gt; with aria-describedby linking to footnote text, or use explicit footnote markup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Mailing address blocks not marked with semantic &lt;address&gt; element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1.3.1 Info &amp; Relationships (best practice)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1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color w:val="336699"/>
                <w:sz w:val="18"/>
                <w:szCs w:val="18"/>
              </w:rPr>
              <w:t xml:space="preserve">Minor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Wrap each postal address block in &lt;address&gt; to convey semantic meaning</w:t>
            </w:r>
          </w:p>
        </w:tc>
      </w:tr>
      <w:tr>
        <w:tc>
          <w:tcPr>
            <w:tcW w:type="dxa" w:w="3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FAX number is plain text, not a tel: link</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Mobile accessibility best practice</w:t>
            </w:r>
          </w:p>
        </w:tc>
        <w:tc>
          <w:tcPr>
            <w:tcW w:type="dxa" w:w="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w:t>
            </w:r>
          </w:p>
        </w:tc>
        <w:tc>
          <w:tcPr>
            <w:tcW w:type="dxa" w:w="11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color w:val="336699"/>
                <w:sz w:val="18"/>
                <w:szCs w:val="18"/>
              </w:rPr>
              <w:t xml:space="preserve">Minor</w:t>
            </w:r>
          </w:p>
        </w:tc>
        <w:tc>
          <w:tcPr>
            <w:tcW w:type="dxa" w:w="20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8"/>
                <w:szCs w:val="18"/>
              </w:rPr>
              <w:t xml:space="preserve">Wrap FAX number in &lt;a href="tel:18667220410"&gt; to enable assistive technology dialing</w:t>
            </w:r>
          </w:p>
        </w:tc>
      </w:tr>
    </w:tbl>
    <w:p>
      <w:pPr>
        <w:spacing w:after="160" w:before="0"/>
      </w:pPr>
      <w:r>
        <w:t xml:space="preserve"/>
      </w:r>
    </w:p>
    <w:p>
      <w:pPr>
        <w:pStyle w:val="Heading2"/>
        <w:spacing w:after="120" w:before="360"/>
      </w:pPr>
      <w:r>
        <w:rPr>
          <w:rFonts w:ascii="Arial" w:cs="Arial" w:eastAsia="Arial" w:hAnsi="Arial"/>
          <w:b/>
          <w:bCs/>
          <w:color w:val="1B3A6B"/>
          <w:sz w:val="28"/>
          <w:szCs w:val="28"/>
        </w:rPr>
        <w:t xml:space="preserve">D. Passing Items</w:t>
      </w:r>
    </w:p>
    <w:p>
      <w:pPr>
        <w:spacing w:after="120" w:before="80" w:line="320"/>
      </w:pPr>
      <w:r>
        <w:rPr>
          <w:rFonts w:ascii="Arial" w:cs="Arial" w:eastAsia="Arial" w:hAnsi="Arial"/>
          <w:sz w:val="22"/>
          <w:szCs w:val="22"/>
        </w:rPr>
        <w:t xml:space="preserve">The following items were found to conform to applicable accessibility requirements:</w:t>
      </w:r>
    </w:p>
    <w:p>
      <w:pPr>
        <w:spacing w:after="80" w:before="0"/>
      </w:pPr>
      <w:r>
        <w:t xml:space="preserve"/>
      </w:r>
    </w:p>
    <w:p>
      <w:pPr>
        <w:pStyle w:val="ListParagraph"/>
        <w:numPr>
          <w:ilvl w:val="0"/>
          <w:numId w:val="2"/>
        </w:numPr>
        <w:spacing w:after="60" w:before="60" w:line="300"/>
      </w:pPr>
      <w:r>
        <w:rPr>
          <w:rFonts w:ascii="Arial" w:cs="Arial" w:eastAsia="Arial" w:hAnsi="Arial"/>
          <w:b w:val="false"/>
          <w:bCs w:val="false"/>
          <w:sz w:val="22"/>
          <w:szCs w:val="22"/>
        </w:rPr>
        <w:t xml:space="preserve">Skip to main content link: Present at page top (href="#default-id") — correctly allows bypass of navigation</w:t>
      </w:r>
    </w:p>
    <w:p>
      <w:pPr>
        <w:pStyle w:val="ListParagraph"/>
        <w:numPr>
          <w:ilvl w:val="0"/>
          <w:numId w:val="2"/>
        </w:numPr>
        <w:spacing w:after="60" w:before="60" w:line="300"/>
      </w:pPr>
      <w:r>
        <w:rPr>
          <w:rFonts w:ascii="Arial" w:cs="Arial" w:eastAsia="Arial" w:hAnsi="Arial"/>
          <w:b w:val="false"/>
          <w:bCs w:val="false"/>
          <w:sz w:val="22"/>
          <w:szCs w:val="22"/>
        </w:rPr>
        <w:t xml:space="preserve">Primary phone numbers: Correctly coded as tap-to-call tel: links throughout the page</w:t>
      </w:r>
    </w:p>
    <w:p>
      <w:pPr>
        <w:pStyle w:val="ListParagraph"/>
        <w:numPr>
          <w:ilvl w:val="0"/>
          <w:numId w:val="2"/>
        </w:numPr>
        <w:spacing w:after="60" w:before="60" w:line="300"/>
      </w:pPr>
      <w:r>
        <w:rPr>
          <w:rFonts w:ascii="Arial" w:cs="Arial" w:eastAsia="Arial" w:hAnsi="Arial"/>
          <w:b w:val="false"/>
          <w:bCs w:val="false"/>
          <w:sz w:val="22"/>
          <w:szCs w:val="22"/>
        </w:rPr>
        <w:t xml:space="preserve">Main content heading hierarchy: H1 → H2 → H3 structure is logically consistent in the primary content area</w:t>
      </w:r>
    </w:p>
    <w:p>
      <w:pPr>
        <w:pStyle w:val="ListParagraph"/>
        <w:numPr>
          <w:ilvl w:val="0"/>
          <w:numId w:val="2"/>
        </w:numPr>
        <w:spacing w:after="60" w:before="60" w:line="300"/>
      </w:pPr>
      <w:r>
        <w:rPr>
          <w:rFonts w:ascii="Arial" w:cs="Arial" w:eastAsia="Arial" w:hAnsi="Arial"/>
          <w:b w:val="false"/>
          <w:bCs w:val="false"/>
          <w:sz w:val="22"/>
          <w:szCs w:val="22"/>
        </w:rPr>
        <w:t xml:space="preserve">Page language: Capital One's site template declares lang="en" on the &lt;html&gt; element (expected conformance)</w:t>
      </w:r>
    </w:p>
    <w:p>
      <w:pPr>
        <w:spacing w:after="160" w:before="0"/>
      </w:pPr>
      <w:r>
        <w:t xml:space="preserve"/>
      </w:r>
    </w:p>
    <w:p>
      <w:pPr>
        <w:pStyle w:val="Heading1"/>
        <w:pBdr>
          <w:bottom w:val="single" w:color="2E5FA3" w:sz="6" w:space="4"/>
        </w:pBdr>
        <w:spacing w:after="160" w:before="400"/>
      </w:pPr>
      <w:r>
        <w:rPr>
          <w:rFonts w:ascii="Arial" w:cs="Arial" w:eastAsia="Arial" w:hAnsi="Arial"/>
          <w:b/>
          <w:bCs/>
          <w:color w:val="1B3A6B"/>
          <w:sz w:val="36"/>
          <w:szCs w:val="36"/>
        </w:rPr>
        <w:t xml:space="preserve">IV-B. THE APRIL 24, 2026 DEADLINE — DOES IT APPLY TO CAPITAL ONE?</w:t>
      </w:r>
    </w:p>
    <w:p>
      <w:pPr>
        <w:spacing w:after="120" w:before="80" w:line="320"/>
      </w:pPr>
      <w:r>
        <w:rPr>
          <w:rFonts w:ascii="Arial" w:cs="Arial" w:eastAsia="Arial" w:hAnsi="Arial"/>
          <w:sz w:val="22"/>
          <w:szCs w:val="22"/>
        </w:rPr>
        <w:t xml:space="preserve">One of the most consequential questions this audit addresses is whether Capital One is subject to the April 24, 2026 federal compliance deadline. The accurate answer: Capital One is not directly bound by that specific regulatory deadline, but the date carries profound legal and strategic implications for the institution regardless.</w:t>
      </w:r>
    </w:p>
    <w:p>
      <w:pPr>
        <w:spacing w:after="80" w:before="0"/>
      </w:pPr>
      <w:r>
        <w:t xml:space="preserve"/>
      </w:r>
    </w:p>
    <w:p>
      <w:pPr>
        <w:pStyle w:val="Heading2"/>
        <w:spacing w:after="120" w:before="360"/>
      </w:pPr>
      <w:r>
        <w:rPr>
          <w:rFonts w:ascii="Arial" w:cs="Arial" w:eastAsia="Arial" w:hAnsi="Arial"/>
          <w:b/>
          <w:bCs/>
          <w:color w:val="1B3A6B"/>
          <w:sz w:val="28"/>
          <w:szCs w:val="28"/>
        </w:rPr>
        <w:t xml:space="preserve">A. What the April 24, 2026 Deadline Is</w:t>
      </w:r>
    </w:p>
    <w:p>
      <w:pPr>
        <w:spacing w:after="120" w:before="80" w:line="320"/>
      </w:pPr>
      <w:r>
        <w:rPr>
          <w:rFonts w:ascii="Arial" w:cs="Arial" w:eastAsia="Arial" w:hAnsi="Arial"/>
          <w:sz w:val="22"/>
          <w:szCs w:val="22"/>
        </w:rPr>
        <w:t xml:space="preserve">The April 24, 2026 deadline was established by the DOJ Final Rule published April 24, 2024 (89 Fed. Reg. 31320, 28 C.F.R. Part 35). It applies exclusively to ADA Title II entities — state and local governments with populations of 50,000 or more. Examples: municipal governments, county agencies, public universities, public school districts, public libraries, transit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6E0" w:val="clear"/>
            <w:tcMar>
              <w:top w:type="dxa" w:w="120"/>
              <w:left w:type="dxa" w:w="160"/>
              <w:bottom w:type="dxa" w:w="120"/>
              <w:right w:type="dxa" w:w="160"/>
            </w:tcMar>
          </w:tcPr>
          <w:p>
            <w:pPr>
              <w:spacing w:after="60" w:before="0"/>
            </w:pPr>
            <w:r>
              <w:rPr>
                <w:rFonts w:ascii="Arial" w:cs="Arial" w:eastAsia="Arial" w:hAnsi="Arial"/>
                <w:b/>
                <w:bCs/>
                <w:color w:val="7A5200"/>
                <w:sz w:val="20"/>
                <w:szCs w:val="20"/>
              </w:rPr>
              <w:t xml:space="preserve">IMPORTANT NOTE</w:t>
            </w:r>
          </w:p>
          <w:p>
            <w:pPr>
              <w:spacing w:after="0" w:before="0"/>
            </w:pPr>
            <w:r>
              <w:rPr>
                <w:rFonts w:ascii="Arial" w:cs="Arial" w:eastAsia="Arial" w:hAnsi="Arial"/>
                <w:color w:val="333333"/>
                <w:sz w:val="20"/>
                <w:szCs w:val="20"/>
              </w:rPr>
              <w:t xml:space="preserve">BOTTOM LINE ON THE DEADLINE: Capital One is a private financial institution under ADA Title III. The April 24, 2026 federal deadline formally applies to government entities only. HOWEVER — there is NO grace period for Capital One. Title III obligations have existed since 1990. Courts are already using WCAG 2.1 AA as the legal standard in Title III cases. And 8,667 ADA web accessibility lawsuits were filed against private businesses in 2025 — before the April 2026 government deadline even took effect.</w:t>
            </w:r>
          </w:p>
        </w:tc>
      </w:tr>
    </w:tbl>
    <w:p>
      <w:pPr>
        <w:spacing w:after="80" w:before="0"/>
      </w:pPr>
      <w:r>
        <w:t xml:space="preserve"/>
      </w:r>
    </w:p>
    <w:p>
      <w:pPr>
        <w:pStyle w:val="Heading2"/>
        <w:spacing w:after="120" w:before="360"/>
      </w:pPr>
      <w:r>
        <w:rPr>
          <w:rFonts w:ascii="Arial" w:cs="Arial" w:eastAsia="Arial" w:hAnsi="Arial"/>
          <w:b/>
          <w:bCs/>
          <w:color w:val="1B3A6B"/>
          <w:sz w:val="28"/>
          <w:szCs w:val="28"/>
        </w:rPr>
        <w:t xml:space="preserve">B. What Applies to Capital One Instead</w:t>
      </w:r>
    </w:p>
    <w:p>
      <w:pPr>
        <w:spacing w:after="120" w:before="80" w:line="320"/>
      </w:pPr>
      <w:r>
        <w:rPr>
          <w:rFonts w:ascii="Arial" w:cs="Arial" w:eastAsia="Arial" w:hAnsi="Arial"/>
          <w:sz w:val="22"/>
          <w:szCs w:val="22"/>
        </w:rPr>
        <w:t xml:space="preserve">Although no specific federal regulatory deadline has been codified for ADA Title III private entities, Capital One faces the following legally enforceable obligations effective immediately:</w:t>
      </w:r>
    </w:p>
    <w:p>
      <w:pPr>
        <w:pStyle w:val="ListParagraph"/>
        <w:numPr>
          <w:ilvl w:val="0"/>
          <w:numId w:val="2"/>
        </w:numPr>
        <w:spacing w:after="60" w:before="60" w:line="300"/>
      </w:pPr>
      <w:r>
        <w:rPr>
          <w:rFonts w:ascii="Arial" w:cs="Arial" w:eastAsia="Arial" w:hAnsi="Arial"/>
          <w:b w:val="false"/>
          <w:bCs w:val="false"/>
          <w:sz w:val="22"/>
          <w:szCs w:val="22"/>
        </w:rPr>
        <w:t xml:space="preserve">ADA Title III (42 U.S.C. § 12182): In effect since 1990. Courts in the 1st, 2nd, 7th, and 9th Circuits have held that inaccessible websites of public accommodations violate Title III. No new rule is needed for a plaintiff to file suit today.</w:t>
      </w:r>
    </w:p>
    <w:p>
      <w:pPr>
        <w:pStyle w:val="ListParagraph"/>
        <w:numPr>
          <w:ilvl w:val="0"/>
          <w:numId w:val="2"/>
        </w:numPr>
        <w:spacing w:after="60" w:before="60" w:line="300"/>
      </w:pPr>
      <w:r>
        <w:rPr>
          <w:rFonts w:ascii="Arial" w:cs="Arial" w:eastAsia="Arial" w:hAnsi="Arial"/>
          <w:b w:val="false"/>
          <w:bCs w:val="false"/>
          <w:sz w:val="22"/>
          <w:szCs w:val="22"/>
        </w:rPr>
        <w:t xml:space="preserve">WCAG 2.1 AA as judicial standard: Courts in active Title III litigation already use WCAG 2.1 AA as the technical benchmark — the same standard codified in the April 2024 Title II rule. Capital One faces that standard in litigation right now.</w:t>
      </w:r>
    </w:p>
    <w:p>
      <w:pPr>
        <w:pStyle w:val="ListParagraph"/>
        <w:numPr>
          <w:ilvl w:val="0"/>
          <w:numId w:val="2"/>
        </w:numPr>
        <w:spacing w:after="60" w:before="60" w:line="300"/>
      </w:pPr>
      <w:r>
        <w:rPr>
          <w:rFonts w:ascii="Arial" w:cs="Arial" w:eastAsia="Arial" w:hAnsi="Arial"/>
          <w:b w:val="false"/>
          <w:bCs w:val="false"/>
          <w:sz w:val="22"/>
          <w:szCs w:val="22"/>
        </w:rPr>
        <w:t xml:space="preserve">DOJ Title III rulemaking forthcoming: In October 2025, the DOJ announced it will re-examine regulations under both Title II AND Title III. A forthcoming Title III rule is expected to mirror the Title II framework — including specific WCAG 2.1 AA requirements and a compliance deadline for private businesses.</w:t>
      </w:r>
    </w:p>
    <w:p>
      <w:pPr>
        <w:pStyle w:val="ListParagraph"/>
        <w:numPr>
          <w:ilvl w:val="0"/>
          <w:numId w:val="2"/>
        </w:numPr>
        <w:spacing w:after="60" w:before="60" w:line="300"/>
      </w:pPr>
      <w:r>
        <w:rPr>
          <w:rFonts w:ascii="Arial" w:cs="Arial" w:eastAsia="Arial" w:hAnsi="Arial"/>
          <w:b w:val="false"/>
          <w:bCs w:val="false"/>
          <w:sz w:val="22"/>
          <w:szCs w:val="22"/>
        </w:rPr>
        <w:t xml:space="preserve">Interim Final Rule uncertainty: In February 2026, the DOJ submitted an Interim Final Rule to OIRA regarding the Title II deadline. The April 24, 2026 government deadline remains legally in effect unless a new rule is published. Any modification affects government entities — not private businesses like Capital One.</w:t>
      </w:r>
    </w:p>
    <w:p>
      <w:pPr>
        <w:spacing w:after="80" w:before="0"/>
      </w:pPr>
      <w:r>
        <w:t xml:space="preserve"/>
      </w:r>
    </w:p>
    <w:p>
      <w:pPr>
        <w:pStyle w:val="Heading2"/>
        <w:spacing w:after="120" w:before="360"/>
      </w:pPr>
      <w:r>
        <w:rPr>
          <w:rFonts w:ascii="Arial" w:cs="Arial" w:eastAsia="Arial" w:hAnsi="Arial"/>
          <w:b/>
          <w:bCs/>
          <w:color w:val="1B3A6B"/>
          <w:sz w:val="28"/>
          <w:szCs w:val="28"/>
        </w:rPr>
        <w:t xml:space="preserve">C. Strategic Implications for Capital One — The April 2026 Inflection Point</w:t>
      </w:r>
    </w:p>
    <w:p>
      <w:pPr>
        <w:spacing w:after="120" w:before="80" w:line="320"/>
      </w:pPr>
      <w:r>
        <w:rPr>
          <w:rFonts w:ascii="Arial" w:cs="Arial" w:eastAsia="Arial" w:hAnsi="Arial"/>
          <w:sz w:val="22"/>
          <w:szCs w:val="22"/>
        </w:rPr>
        <w:t xml:space="preserve">The absence of a specific Title III regulatory deadline does not create a compliance window — it creates a litigation window. Private plaintiffs do not wait for federal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ADA web lawsuits filed (2024)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 4,600 against private businesses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ADA web lawsuits filed (2025)</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8,667 — before April 2026 deadline even took effect</w:t>
            </w:r>
          </w:p>
        </w:tc>
      </w:tr>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Average settlement value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Exceeds USD 75,000 (excluding legal fees and remediation)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Consent decree duration</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Typically 3 years with DOJ monitoring</w:t>
            </w:r>
          </w:p>
        </w:tc>
      </w:tr>
      <w:tr>
        <w:tc>
          <w:tcPr>
            <w:tcW w:type="dxa" w:w="3500"/>
            <w:tcBorders>
              <w:top w:val="single" w:color="CCCCCC" w:sz="1"/>
              <w:left w:val="single" w:color="CCCCCC" w:sz="1"/>
              <w:bottom w:val="single" w:color="CCCCCC" w:sz="1"/>
              <w:right w:val="single" w:color="CCCCCC" w:sz="1"/>
            </w:tcBorders>
            <w:shd w:fill="D5E4F2" w:val="clear"/>
            <w:tcMar>
              <w:top w:type="dxa" w:w="80"/>
              <w:left w:type="dxa" w:w="120"/>
              <w:bottom w:type="dxa" w:w="80"/>
              <w:right w:type="dxa" w:w="120"/>
            </w:tcMar>
          </w:tcPr>
          <w:p>
            <w:r>
              <w:rPr>
                <w:rFonts w:ascii="Arial" w:cs="Arial" w:eastAsia="Arial" w:hAnsi="Arial"/>
                <w:b/>
                <w:bCs/>
                <w:sz w:val="20"/>
                <w:szCs w:val="20"/>
              </w:rPr>
              <w:t xml:space="preserve">Title III rule status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Re-examination announced October 2025; rule forthcoming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Capital One current exposure</w:t>
            </w:r>
          </w:p>
        </w:tc>
        <w:tc>
          <w:tcPr>
            <w:tcW w:type="dxa" w:w="5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IMMEDIATE — Title III obligations predate any new rule</w:t>
            </w:r>
          </w:p>
        </w:tc>
      </w:tr>
    </w:tbl>
    <w:p>
      <w:pPr>
        <w:spacing w:after="80" w:before="0"/>
      </w:pPr>
      <w:r>
        <w:t xml:space="preserve"/>
      </w:r>
    </w:p>
    <w:p>
      <w:pPr>
        <w:spacing w:after="120" w:before="80" w:line="320"/>
      </w:pPr>
      <w:r>
        <w:rPr>
          <w:rFonts w:ascii="Arial" w:cs="Arial" w:eastAsia="Arial" w:hAnsi="Arial"/>
          <w:sz w:val="22"/>
          <w:szCs w:val="22"/>
        </w:rPr>
        <w:t xml:space="preserve">April 24, 2026 is a high-profile inflection point regardless of which entities are formally covered. Courts, regulators, plaintiff attorneys, and advocacy organizations are heightening scrutiny of all large institutions — including financial institutions — around this date. A DOJ that has just enforced WCAG 2.1 AA against thousands of government entities will face immediate pressure to extend equivalent standards to private banks. Capital One should treat April 2026 not as a deadline that does not apply to it, but as a moment of elevated enforcement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6E0" w:val="clear"/>
            <w:tcMar>
              <w:top w:type="dxa" w:w="120"/>
              <w:left w:type="dxa" w:w="160"/>
              <w:bottom w:type="dxa" w:w="120"/>
              <w:right w:type="dxa" w:w="160"/>
            </w:tcMar>
          </w:tcPr>
          <w:p>
            <w:pPr>
              <w:spacing w:after="60" w:before="0"/>
            </w:pPr>
            <w:r>
              <w:rPr>
                <w:rFonts w:ascii="Arial" w:cs="Arial" w:eastAsia="Arial" w:hAnsi="Arial"/>
                <w:b/>
                <w:bCs/>
                <w:color w:val="7A5200"/>
                <w:sz w:val="20"/>
                <w:szCs w:val="20"/>
              </w:rPr>
              <w:t xml:space="preserve">IMPORTANT NOTE</w:t>
            </w:r>
          </w:p>
          <w:p>
            <w:pPr>
              <w:spacing w:after="0" w:before="0"/>
            </w:pPr>
            <w:r>
              <w:rPr>
                <w:rFonts w:ascii="Arial" w:cs="Arial" w:eastAsia="Arial" w:hAnsi="Arial"/>
                <w:color w:val="333333"/>
                <w:sz w:val="20"/>
                <w:szCs w:val="20"/>
              </w:rPr>
              <w:t xml:space="preserve">The window for voluntary, proactive remediation is narrowing. Capital One's most defensible posture — legally and reputationally — is to remediate now, before a Title III rule creates a formal deadline, before the post-April 2026 enforcement environment intensifies, and before a plaintiff attorney uses this audit's findings in a complaint.</w:t>
            </w:r>
          </w:p>
        </w:tc>
      </w:tr>
    </w:tbl>
    <w:p>
      <w:pPr>
        <w:spacing w:after="160" w:before="0"/>
      </w:pPr>
      <w:r>
        <w:t xml:space="preserve"/>
      </w:r>
    </w:p>
    <w:p>
      <w:pPr>
        <w:pStyle w:val="Heading1"/>
        <w:pBdr>
          <w:bottom w:val="single" w:color="2E5FA3" w:sz="6" w:space="4"/>
        </w:pBdr>
        <w:spacing w:after="160" w:before="400"/>
      </w:pPr>
      <w:r>
        <w:rPr>
          <w:rFonts w:ascii="Arial" w:cs="Arial" w:eastAsia="Arial" w:hAnsi="Arial"/>
          <w:b/>
          <w:bCs/>
          <w:color w:val="1B3A6B"/>
          <w:sz w:val="36"/>
          <w:szCs w:val="36"/>
        </w:rPr>
        <w:t xml:space="preserve">V. RISK ANALYSIS</w:t>
      </w:r>
    </w:p>
    <w:p>
      <w:pPr>
        <w:pStyle w:val="Heading2"/>
        <w:spacing w:after="120" w:before="360"/>
      </w:pPr>
      <w:r>
        <w:rPr>
          <w:rFonts w:ascii="Arial" w:cs="Arial" w:eastAsia="Arial" w:hAnsi="Arial"/>
          <w:b/>
          <w:bCs/>
          <w:color w:val="1B3A6B"/>
          <w:sz w:val="28"/>
          <w:szCs w:val="28"/>
        </w:rPr>
        <w:t xml:space="preserve">A. Litigation Risk</w:t>
      </w:r>
    </w:p>
    <w:p>
      <w:pPr>
        <w:spacing w:after="120" w:before="80" w:line="320"/>
      </w:pPr>
      <w:r>
        <w:rPr>
          <w:rFonts w:ascii="Arial" w:cs="Arial" w:eastAsia="Arial" w:hAnsi="Arial"/>
          <w:sz w:val="22"/>
          <w:szCs w:val="22"/>
        </w:rPr>
        <w:t xml:space="preserve">ADA Title III litigation targeting financial institution websites has increased significantly. In the Southern District of New York alone — the most active district for web accessibility litigation — over 3,000 such cases were filed in 2023. Financial institutions are disproportionately targeted because their contact and account management pages are considered essential services that disabled users cannot meaningfully substitute with in-person alternatives (particularly post-COVID).</w:t>
      </w:r>
    </w:p>
    <w:p>
      <w:pPr>
        <w:spacing w:after="120" w:before="80" w:line="320"/>
      </w:pPr>
      <w:r>
        <w:rPr>
          <w:rFonts w:ascii="Arial" w:cs="Arial" w:eastAsia="Arial" w:hAnsi="Arial"/>
          <w:sz w:val="22"/>
          <w:szCs w:val="22"/>
        </w:rPr>
        <w:t xml:space="preserve">The Contact Us page specifically is high-litigation-risk because: (a) it is the primary channel for dispute resolution and fraud reporting, which are time-sensitive; (b) it is publicly accessible without authentication; and (c) a screen reader user attempting to report fraud who is blocked by inaccessible navigation has a compelling factual narrative for a plaintiff's attorney.</w:t>
      </w:r>
    </w:p>
    <w:p>
      <w:pPr>
        <w:pStyle w:val="Heading2"/>
        <w:spacing w:after="120" w:before="360"/>
      </w:pPr>
      <w:r>
        <w:rPr>
          <w:rFonts w:ascii="Arial" w:cs="Arial" w:eastAsia="Arial" w:hAnsi="Arial"/>
          <w:b/>
          <w:bCs/>
          <w:color w:val="1B3A6B"/>
          <w:sz w:val="28"/>
          <w:szCs w:val="28"/>
        </w:rPr>
        <w:t xml:space="preserve">B. Regulatory Risk</w:t>
      </w:r>
    </w:p>
    <w:p>
      <w:pPr>
        <w:spacing w:after="120" w:before="80" w:line="320"/>
      </w:pPr>
      <w:r>
        <w:rPr>
          <w:rFonts w:ascii="Arial" w:cs="Arial" w:eastAsia="Arial" w:hAnsi="Arial"/>
          <w:sz w:val="22"/>
          <w:szCs w:val="22"/>
        </w:rPr>
        <w:t xml:space="preserve">Three federal regulatory bodies have independent authority to initiate enforcement actions:</w:t>
      </w:r>
    </w:p>
    <w:p>
      <w:pPr>
        <w:pStyle w:val="ListParagraph"/>
        <w:numPr>
          <w:ilvl w:val="0"/>
          <w:numId w:val="2"/>
        </w:numPr>
        <w:spacing w:after="60" w:before="60" w:line="300"/>
      </w:pPr>
      <w:r>
        <w:rPr>
          <w:rFonts w:ascii="Arial" w:cs="Arial" w:eastAsia="Arial" w:hAnsi="Arial"/>
          <w:b w:val="false"/>
          <w:bCs w:val="false"/>
          <w:sz w:val="22"/>
          <w:szCs w:val="22"/>
        </w:rPr>
        <w:t xml:space="preserve">Department of Justice (DOJ): May open a compliance review under Title III; settlement agreements typically require a corrective action plan, third-party auditor, and annual reporting for 3 years</w:t>
      </w:r>
    </w:p>
    <w:p>
      <w:pPr>
        <w:pStyle w:val="ListParagraph"/>
        <w:numPr>
          <w:ilvl w:val="0"/>
          <w:numId w:val="2"/>
        </w:numPr>
        <w:spacing w:after="60" w:before="60" w:line="300"/>
      </w:pPr>
      <w:r>
        <w:rPr>
          <w:rFonts w:ascii="Arial" w:cs="Arial" w:eastAsia="Arial" w:hAnsi="Arial"/>
          <w:b w:val="false"/>
          <w:bCs w:val="false"/>
          <w:sz w:val="22"/>
          <w:szCs w:val="22"/>
        </w:rPr>
        <w:t xml:space="preserve">Consumer Financial Protection Bureau (CFPB): May pursue UDAAP enforcement; civil money penalties up to $1,000,000 per day for knowing violations</w:t>
      </w:r>
    </w:p>
    <w:p>
      <w:pPr>
        <w:pStyle w:val="ListParagraph"/>
        <w:numPr>
          <w:ilvl w:val="0"/>
          <w:numId w:val="2"/>
        </w:numPr>
        <w:spacing w:after="60" w:before="60" w:line="300"/>
      </w:pPr>
      <w:r>
        <w:rPr>
          <w:rFonts w:ascii="Arial" w:cs="Arial" w:eastAsia="Arial" w:hAnsi="Arial"/>
          <w:b w:val="false"/>
          <w:bCs w:val="false"/>
          <w:sz w:val="22"/>
          <w:szCs w:val="22"/>
        </w:rPr>
        <w:t xml:space="preserve">Office of the Comptroller of the Currency (OCC): May reflect digital accessibility failures in CRA examination ratings, affecting Capital One's ability to expand branch networks or pursue acquisitions</w:t>
      </w:r>
    </w:p>
    <w:p>
      <w:pPr>
        <w:spacing w:after="80" w:before="0"/>
      </w:pPr>
      <w:r>
        <w:t xml:space="preserve"/>
      </w:r>
    </w:p>
    <w:p>
      <w:pPr>
        <w:pStyle w:val="Heading2"/>
        <w:spacing w:after="120" w:before="360"/>
      </w:pPr>
      <w:r>
        <w:rPr>
          <w:rFonts w:ascii="Arial" w:cs="Arial" w:eastAsia="Arial" w:hAnsi="Arial"/>
          <w:b/>
          <w:bCs/>
          <w:color w:val="1B3A6B"/>
          <w:sz w:val="28"/>
          <w:szCs w:val="28"/>
        </w:rPr>
        <w:t xml:space="preserve">C. Reputational Risk</w:t>
      </w:r>
    </w:p>
    <w:p>
      <w:pPr>
        <w:spacing w:after="120" w:before="80" w:line="320"/>
      </w:pPr>
      <w:r>
        <w:rPr>
          <w:rFonts w:ascii="Arial" w:cs="Arial" w:eastAsia="Arial" w:hAnsi="Arial"/>
          <w:sz w:val="22"/>
          <w:szCs w:val="22"/>
        </w:rPr>
        <w:t xml:space="preserve">Capital One's accessibility statement (capitalone.com/accessibility) represents a public commitment to WCAG conformance. Material discrepancies between that public commitment and actual conformance expose the institution to reputational harm, press scrutiny, and potential FTC unfair practices claims predicated on deceptive advertising.</w:t>
      </w:r>
    </w:p>
    <w:p>
      <w:pPr>
        <w:pStyle w:val="Heading2"/>
        <w:spacing w:after="120" w:before="360"/>
      </w:pPr>
      <w:r>
        <w:rPr>
          <w:rFonts w:ascii="Arial" w:cs="Arial" w:eastAsia="Arial" w:hAnsi="Arial"/>
          <w:b/>
          <w:bCs/>
          <w:color w:val="1B3A6B"/>
          <w:sz w:val="28"/>
          <w:szCs w:val="28"/>
        </w:rPr>
        <w:t xml:space="preserve">D. Settlement Precedents</w:t>
      </w:r>
    </w:p>
    <w:p>
      <w:pPr>
        <w:spacing w:after="120" w:before="80" w:line="320"/>
      </w:pPr>
      <w:r>
        <w:rPr>
          <w:rFonts w:ascii="Arial" w:cs="Arial" w:eastAsia="Arial" w:hAnsi="Arial"/>
          <w:sz w:val="22"/>
          <w:szCs w:val="22"/>
        </w:rPr>
        <w:t xml:space="preserve">Recent DOJ settlement agreements with financial institutions provide benchmarks for expected remediation scope:</w:t>
      </w:r>
    </w:p>
    <w:p>
      <w:pPr>
        <w:pStyle w:val="ListParagraph"/>
        <w:numPr>
          <w:ilvl w:val="0"/>
          <w:numId w:val="2"/>
        </w:numPr>
        <w:spacing w:after="60" w:before="60" w:line="300"/>
      </w:pPr>
      <w:r>
        <w:rPr>
          <w:rFonts w:ascii="Arial" w:cs="Arial" w:eastAsia="Arial" w:hAnsi="Arial"/>
          <w:b w:val="false"/>
          <w:bCs w:val="false"/>
          <w:sz w:val="22"/>
          <w:szCs w:val="22"/>
        </w:rPr>
        <w:t xml:space="preserve">Peer bank settlements have required WCAG 2.1 AA conformance within 180 days of execution</w:t>
      </w:r>
    </w:p>
    <w:p>
      <w:pPr>
        <w:pStyle w:val="ListParagraph"/>
        <w:numPr>
          <w:ilvl w:val="0"/>
          <w:numId w:val="2"/>
        </w:numPr>
        <w:spacing w:after="60" w:before="60" w:line="300"/>
      </w:pPr>
      <w:r>
        <w:rPr>
          <w:rFonts w:ascii="Arial" w:cs="Arial" w:eastAsia="Arial" w:hAnsi="Arial"/>
          <w:b w:val="false"/>
          <w:bCs w:val="false"/>
          <w:sz w:val="22"/>
          <w:szCs w:val="22"/>
        </w:rPr>
        <w:t xml:space="preserve">Third-party accessibility monitor retained for 3 years at company cost</w:t>
      </w:r>
    </w:p>
    <w:p>
      <w:pPr>
        <w:pStyle w:val="ListParagraph"/>
        <w:numPr>
          <w:ilvl w:val="0"/>
          <w:numId w:val="2"/>
        </w:numPr>
        <w:spacing w:after="60" w:before="60" w:line="300"/>
      </w:pPr>
      <w:r>
        <w:rPr>
          <w:rFonts w:ascii="Arial" w:cs="Arial" w:eastAsia="Arial" w:hAnsi="Arial"/>
          <w:b w:val="false"/>
          <w:bCs w:val="false"/>
          <w:sz w:val="22"/>
          <w:szCs w:val="22"/>
        </w:rPr>
        <w:t xml:space="preserve">Mandatory user testing with persons with disabilities prior to major site updates</w:t>
      </w:r>
    </w:p>
    <w:p>
      <w:pPr>
        <w:pStyle w:val="ListParagraph"/>
        <w:numPr>
          <w:ilvl w:val="0"/>
          <w:numId w:val="2"/>
        </w:numPr>
        <w:spacing w:after="60" w:before="60" w:line="300"/>
      </w:pPr>
      <w:r>
        <w:rPr>
          <w:rFonts w:ascii="Arial" w:cs="Arial" w:eastAsia="Arial" w:hAnsi="Arial"/>
          <w:b w:val="false"/>
          <w:bCs w:val="false"/>
          <w:sz w:val="22"/>
          <w:szCs w:val="22"/>
        </w:rPr>
        <w:t xml:space="preserve">Annual audit reports submitted to DOJ</w:t>
      </w:r>
    </w:p>
    <w:p>
      <w:pPr>
        <w:pStyle w:val="ListParagraph"/>
        <w:numPr>
          <w:ilvl w:val="0"/>
          <w:numId w:val="2"/>
        </w:numPr>
        <w:spacing w:after="60" w:before="60" w:line="300"/>
      </w:pPr>
      <w:r>
        <w:rPr>
          <w:rFonts w:ascii="Arial" w:cs="Arial" w:eastAsia="Arial" w:hAnsi="Arial"/>
          <w:b w:val="false"/>
          <w:bCs w:val="false"/>
          <w:sz w:val="22"/>
          <w:szCs w:val="22"/>
        </w:rPr>
        <w:t xml:space="preserve">Training programs for all digital product personnel</w:t>
      </w:r>
    </w:p>
    <w:p>
      <w:pPr>
        <w:spacing w:after="160" w:before="0"/>
      </w:pPr>
      <w:r>
        <w:t xml:space="preserve"/>
      </w:r>
    </w:p>
    <w:p>
      <w:pPr>
        <w:pStyle w:val="Heading1"/>
        <w:pBdr>
          <w:bottom w:val="single" w:color="2E5FA3" w:sz="6" w:space="4"/>
        </w:pBdr>
        <w:spacing w:after="160" w:before="400"/>
      </w:pPr>
      <w:r>
        <w:rPr>
          <w:rFonts w:ascii="Arial" w:cs="Arial" w:eastAsia="Arial" w:hAnsi="Arial"/>
          <w:b/>
          <w:bCs/>
          <w:color w:val="1B3A6B"/>
          <w:sz w:val="36"/>
          <w:szCs w:val="36"/>
        </w:rPr>
        <w:t xml:space="preserve">VI. RECOMMENDATIONS</w:t>
      </w:r>
    </w:p>
    <w:p>
      <w:pPr>
        <w:pStyle w:val="Heading2"/>
        <w:spacing w:after="120" w:before="360"/>
      </w:pPr>
      <w:r>
        <w:rPr>
          <w:rFonts w:ascii="Arial" w:cs="Arial" w:eastAsia="Arial" w:hAnsi="Arial"/>
          <w:b/>
          <w:bCs/>
          <w:color w:val="1B3A6B"/>
          <w:sz w:val="28"/>
          <w:szCs w:val="28"/>
        </w:rPr>
        <w:t xml:space="preserve">A. Immediate Actions (0–30 Days)</w:t>
      </w:r>
    </w:p>
    <w:p>
      <w:pPr>
        <w:spacing w:after="120" w:before="80" w:line="320"/>
      </w:pPr>
      <w:r>
        <w:rPr>
          <w:rFonts w:ascii="Arial" w:cs="Arial" w:eastAsia="Arial" w:hAnsi="Arial"/>
          <w:sz w:val="22"/>
          <w:szCs w:val="22"/>
        </w:rPr>
        <w:t xml:space="preserve">The following remediations address Critical-severity findings and should be treated as emergency fixes:</w:t>
      </w:r>
    </w:p>
    <w:p>
      <w:pPr>
        <w:pStyle w:val="ListParagraph"/>
        <w:numPr>
          <w:ilvl w:val="0"/>
          <w:numId w:val="2"/>
        </w:numPr>
        <w:spacing w:after="60" w:before="60" w:line="300"/>
      </w:pPr>
      <w:r>
        <w:rPr>
          <w:rFonts w:ascii="Arial" w:cs="Arial" w:eastAsia="Arial" w:hAnsi="Arial"/>
          <w:b/>
          <w:bCs/>
          <w:sz w:val="22"/>
          <w:szCs w:val="22"/>
        </w:rPr>
        <w:t xml:space="preserve">EMAIL / WRITTEN CONTACT CHANNEL: Publish a monitored customer service email address or an accessible web-based contact form on the Contact Us page. This is required under 28 C.F.R. § 36.303 and should be treated as the single highest-priority remediation — it is an ADA structural failure, not a WCAG code fix.</w:t>
      </w:r>
    </w:p>
    <w:p>
      <w:pPr>
        <w:pStyle w:val="ListParagraph"/>
        <w:numPr>
          <w:ilvl w:val="0"/>
          <w:numId w:val="2"/>
        </w:numPr>
        <w:spacing w:after="60" w:before="60" w:line="300"/>
      </w:pPr>
      <w:r>
        <w:rPr>
          <w:rFonts w:ascii="Arial" w:cs="Arial" w:eastAsia="Arial" w:hAnsi="Arial"/>
          <w:b/>
          <w:bCs/>
          <w:sz w:val="22"/>
          <w:szCs w:val="22"/>
        </w:rPr>
        <w:t xml:space="preserve">Alt text remediation: Audit all &lt;img&gt; tags site-wide; assign alt="" to decorative images; assign meaningful alt text to informational images. The Equal Housing Opportunity logo requires alt="Equal Housing Opportunity Lender" as a priority.</w:t>
      </w:r>
    </w:p>
    <w:p>
      <w:pPr>
        <w:pStyle w:val="ListParagraph"/>
        <w:numPr>
          <w:ilvl w:val="0"/>
          <w:numId w:val="2"/>
        </w:numPr>
        <w:spacing w:after="60" w:before="60" w:line="300"/>
      </w:pPr>
      <w:r>
        <w:rPr>
          <w:rFonts w:ascii="Arial" w:cs="Arial" w:eastAsia="Arial" w:hAnsi="Arial"/>
          <w:b/>
          <w:bCs/>
          <w:sz w:val="22"/>
          <w:szCs w:val="22"/>
        </w:rPr>
        <w:t xml:space="preserve">Benefits &amp; Tools navigation: Replace javascript:void(0) href with a &lt;button aria-expanded="false"&gt; implementing the ARIA Disclosure Navigation pattern.</w:t>
      </w:r>
    </w:p>
    <w:p>
      <w:pPr>
        <w:pStyle w:val="ListParagraph"/>
        <w:numPr>
          <w:ilvl w:val="0"/>
          <w:numId w:val="2"/>
        </w:numPr>
        <w:spacing w:after="60" w:before="60" w:line="300"/>
      </w:pPr>
      <w:r>
        <w:rPr>
          <w:rFonts w:ascii="Arial" w:cs="Arial" w:eastAsia="Arial" w:hAnsi="Arial"/>
          <w:b/>
          <w:bCs/>
          <w:sz w:val="22"/>
          <w:szCs w:val="22"/>
        </w:rPr>
        <w:t xml:space="preserve">Duplicate heading: Audit the DOM to confirm only one instance of each H2 heading is accessible at a time; apply aria-hidden to inactive content.</w:t>
      </w:r>
    </w:p>
    <w:p>
      <w:pPr>
        <w:spacing w:after="80" w:before="0"/>
      </w:pPr>
      <w:r>
        <w:t xml:space="preserve"/>
      </w:r>
    </w:p>
    <w:p>
      <w:pPr>
        <w:pStyle w:val="Heading2"/>
        <w:spacing w:after="120" w:before="360"/>
      </w:pPr>
      <w:r>
        <w:rPr>
          <w:rFonts w:ascii="Arial" w:cs="Arial" w:eastAsia="Arial" w:hAnsi="Arial"/>
          <w:b/>
          <w:bCs/>
          <w:color w:val="1B3A6B"/>
          <w:sz w:val="28"/>
          <w:szCs w:val="28"/>
        </w:rPr>
        <w:t xml:space="preserve">B. Short-Term Actions (30–90 Days)</w:t>
      </w:r>
    </w:p>
    <w:p>
      <w:pPr>
        <w:pStyle w:val="ListParagraph"/>
        <w:numPr>
          <w:ilvl w:val="0"/>
          <w:numId w:val="2"/>
        </w:numPr>
        <w:spacing w:after="60" w:before="60" w:line="300"/>
      </w:pPr>
      <w:r>
        <w:rPr>
          <w:rFonts w:ascii="Arial" w:cs="Arial" w:eastAsia="Arial" w:hAnsi="Arial"/>
          <w:b/>
          <w:bCs/>
          <w:sz w:val="22"/>
          <w:szCs w:val="22"/>
        </w:rPr>
        <w:t xml:space="preserve">Tab panel ARIA pattern: Implement role="tablist"/"tab"/"tabpanel", aria-selected, aria-controls, and keyboard arrow navigation for both the content tabs and product tabs.</w:t>
      </w:r>
    </w:p>
    <w:p>
      <w:pPr>
        <w:pStyle w:val="ListParagraph"/>
        <w:numPr>
          <w:ilvl w:val="0"/>
          <w:numId w:val="2"/>
        </w:numPr>
        <w:spacing w:after="60" w:before="60" w:line="300"/>
      </w:pPr>
      <w:r>
        <w:rPr>
          <w:rFonts w:ascii="Arial" w:cs="Arial" w:eastAsia="Arial" w:hAnsi="Arial"/>
          <w:b/>
          <w:bCs/>
          <w:sz w:val="22"/>
          <w:szCs w:val="22"/>
        </w:rPr>
        <w:t xml:space="preserve">Exit dialog modal: Add role="dialog", aria-modal="true", focus trap, aria-labelledby, and focus restoration on close.</w:t>
      </w:r>
    </w:p>
    <w:p>
      <w:pPr>
        <w:pStyle w:val="ListParagraph"/>
        <w:numPr>
          <w:ilvl w:val="0"/>
          <w:numId w:val="2"/>
        </w:numPr>
        <w:spacing w:after="60" w:before="60" w:line="300"/>
      </w:pPr>
      <w:r>
        <w:rPr>
          <w:rFonts w:ascii="Arial" w:cs="Arial" w:eastAsia="Arial" w:hAnsi="Arial"/>
          <w:b/>
          <w:bCs/>
          <w:sz w:val="22"/>
          <w:szCs w:val="22"/>
        </w:rPr>
        <w:t xml:space="preserve">Phone link URIs: Remove space in tel: URIs; add aria-label attributes with department context.</w:t>
      </w:r>
    </w:p>
    <w:p>
      <w:pPr>
        <w:pStyle w:val="ListParagraph"/>
        <w:numPr>
          <w:ilvl w:val="0"/>
          <w:numId w:val="2"/>
        </w:numPr>
        <w:spacing w:after="60" w:before="60" w:line="300"/>
      </w:pPr>
      <w:r>
        <w:rPr>
          <w:rFonts w:ascii="Arial" w:cs="Arial" w:eastAsia="Arial" w:hAnsi="Arial"/>
          <w:b/>
          <w:bCs/>
          <w:sz w:val="22"/>
          <w:szCs w:val="22"/>
        </w:rPr>
        <w:t xml:space="preserve">Form control labels: Verify programmatic label association on all select and input controls.</w:t>
      </w:r>
    </w:p>
    <w:p>
      <w:pPr>
        <w:spacing w:after="80" w:before="0"/>
      </w:pPr>
      <w:r>
        <w:t xml:space="preserve"/>
      </w:r>
    </w:p>
    <w:p>
      <w:pPr>
        <w:pStyle w:val="Heading2"/>
        <w:spacing w:after="120" w:before="360"/>
      </w:pPr>
      <w:r>
        <w:rPr>
          <w:rFonts w:ascii="Arial" w:cs="Arial" w:eastAsia="Arial" w:hAnsi="Arial"/>
          <w:b/>
          <w:bCs/>
          <w:color w:val="1B3A6B"/>
          <w:sz w:val="28"/>
          <w:szCs w:val="28"/>
        </w:rPr>
        <w:t xml:space="preserve">C. Medium-Term Actions (90–180 Days)</w:t>
      </w:r>
    </w:p>
    <w:p>
      <w:pPr>
        <w:pStyle w:val="ListParagraph"/>
        <w:numPr>
          <w:ilvl w:val="0"/>
          <w:numId w:val="2"/>
        </w:numPr>
        <w:spacing w:after="60" w:before="60" w:line="300"/>
      </w:pPr>
      <w:r>
        <w:rPr>
          <w:rFonts w:ascii="Arial" w:cs="Arial" w:eastAsia="Arial" w:hAnsi="Arial"/>
          <w:b w:val="false"/>
          <w:bCs w:val="false"/>
          <w:sz w:val="22"/>
          <w:szCs w:val="22"/>
        </w:rPr>
        <w:t xml:space="preserve">Phase II live testing: Conduct full keyboard-only and screen reader testing (NVDA + Chrome; JAWS + IE/Edge; VoiceOver + Safari) across all page states.</w:t>
      </w:r>
    </w:p>
    <w:p>
      <w:pPr>
        <w:pStyle w:val="ListParagraph"/>
        <w:numPr>
          <w:ilvl w:val="0"/>
          <w:numId w:val="2"/>
        </w:numPr>
        <w:spacing w:after="60" w:before="60" w:line="300"/>
      </w:pPr>
      <w:r>
        <w:rPr>
          <w:rFonts w:ascii="Arial" w:cs="Arial" w:eastAsia="Arial" w:hAnsi="Arial"/>
          <w:b w:val="false"/>
          <w:bCs w:val="false"/>
          <w:sz w:val="22"/>
          <w:szCs w:val="22"/>
        </w:rPr>
        <w:t xml:space="preserve">WCAG audit site-wide: Extend audit scope to all public-facing pages, authenticated account management flows, and mobile app.</w:t>
      </w:r>
    </w:p>
    <w:p>
      <w:pPr>
        <w:pStyle w:val="ListParagraph"/>
        <w:numPr>
          <w:ilvl w:val="0"/>
          <w:numId w:val="2"/>
        </w:numPr>
        <w:spacing w:after="60" w:before="60" w:line="300"/>
      </w:pPr>
      <w:r>
        <w:rPr>
          <w:rFonts w:ascii="Arial" w:cs="Arial" w:eastAsia="Arial" w:hAnsi="Arial"/>
          <w:b w:val="false"/>
          <w:bCs w:val="false"/>
          <w:sz w:val="22"/>
          <w:szCs w:val="22"/>
        </w:rPr>
        <w:t xml:space="preserve">Semantic markup: Implement &lt;address&gt; elements for mailing addresses; update footnote markup; add breadcrumb aria-label.</w:t>
      </w:r>
    </w:p>
    <w:p>
      <w:pPr>
        <w:pStyle w:val="ListParagraph"/>
        <w:numPr>
          <w:ilvl w:val="0"/>
          <w:numId w:val="2"/>
        </w:numPr>
        <w:spacing w:after="60" w:before="60" w:line="300"/>
      </w:pPr>
      <w:r>
        <w:rPr>
          <w:rFonts w:ascii="Arial" w:cs="Arial" w:eastAsia="Arial" w:hAnsi="Arial"/>
          <w:b w:val="false"/>
          <w:bCs w:val="false"/>
          <w:sz w:val="22"/>
          <w:szCs w:val="22"/>
        </w:rPr>
        <w:t xml:space="preserve">Accessibility statement: Update capitalone.com/accessibility to reflect current conformance status, known exceptions, and remediation timeline — consistent with WCAG 2.1 Conformance Claim requirements.</w:t>
      </w:r>
    </w:p>
    <w:p>
      <w:pPr>
        <w:spacing w:after="80" w:before="0"/>
      </w:pPr>
      <w:r>
        <w:t xml:space="preserve"/>
      </w:r>
    </w:p>
    <w:p>
      <w:pPr>
        <w:pStyle w:val="Heading2"/>
        <w:spacing w:after="120" w:before="360"/>
      </w:pPr>
      <w:r>
        <w:rPr>
          <w:rFonts w:ascii="Arial" w:cs="Arial" w:eastAsia="Arial" w:hAnsi="Arial"/>
          <w:b/>
          <w:bCs/>
          <w:color w:val="1B3A6B"/>
          <w:sz w:val="28"/>
          <w:szCs w:val="28"/>
        </w:rPr>
        <w:t xml:space="preserve">D. Ongoing Program Requirements</w:t>
      </w:r>
    </w:p>
    <w:p>
      <w:pPr>
        <w:pStyle w:val="ListParagraph"/>
        <w:numPr>
          <w:ilvl w:val="0"/>
          <w:numId w:val="2"/>
        </w:numPr>
        <w:spacing w:after="60" w:before="60" w:line="300"/>
      </w:pPr>
      <w:r>
        <w:rPr>
          <w:rFonts w:ascii="Arial" w:cs="Arial" w:eastAsia="Arial" w:hAnsi="Arial"/>
          <w:b w:val="false"/>
          <w:bCs w:val="false"/>
          <w:sz w:val="22"/>
          <w:szCs w:val="22"/>
        </w:rPr>
        <w:t xml:space="preserve">Integrate automated accessibility testing (axe-core or equivalent) into CI/CD pipeline</w:t>
      </w:r>
    </w:p>
    <w:p>
      <w:pPr>
        <w:pStyle w:val="ListParagraph"/>
        <w:numPr>
          <w:ilvl w:val="0"/>
          <w:numId w:val="2"/>
        </w:numPr>
        <w:spacing w:after="60" w:before="60" w:line="300"/>
      </w:pPr>
      <w:r>
        <w:rPr>
          <w:rFonts w:ascii="Arial" w:cs="Arial" w:eastAsia="Arial" w:hAnsi="Arial"/>
          <w:b w:val="false"/>
          <w:bCs w:val="false"/>
          <w:sz w:val="22"/>
          <w:szCs w:val="22"/>
        </w:rPr>
        <w:t xml:space="preserve">Establish accessibility acceptance criteria for all new feature releases</w:t>
      </w:r>
    </w:p>
    <w:p>
      <w:pPr>
        <w:pStyle w:val="ListParagraph"/>
        <w:numPr>
          <w:ilvl w:val="0"/>
          <w:numId w:val="2"/>
        </w:numPr>
        <w:spacing w:after="60" w:before="60" w:line="300"/>
      </w:pPr>
      <w:r>
        <w:rPr>
          <w:rFonts w:ascii="Arial" w:cs="Arial" w:eastAsia="Arial" w:hAnsi="Arial"/>
          <w:b w:val="false"/>
          <w:bCs w:val="false"/>
          <w:sz w:val="22"/>
          <w:szCs w:val="22"/>
        </w:rPr>
        <w:t xml:space="preserve">Conduct annual third-party WCAG audit across all customer-facing digital properties</w:t>
      </w:r>
    </w:p>
    <w:p>
      <w:pPr>
        <w:pStyle w:val="ListParagraph"/>
        <w:numPr>
          <w:ilvl w:val="0"/>
          <w:numId w:val="2"/>
        </w:numPr>
        <w:spacing w:after="60" w:before="60" w:line="300"/>
      </w:pPr>
      <w:r>
        <w:rPr>
          <w:rFonts w:ascii="Arial" w:cs="Arial" w:eastAsia="Arial" w:hAnsi="Arial"/>
          <w:b w:val="false"/>
          <w:bCs w:val="false"/>
          <w:sz w:val="22"/>
          <w:szCs w:val="22"/>
        </w:rPr>
        <w:t xml:space="preserve">Implement quarterly accessibility training for product, design, and engineering teams</w:t>
      </w:r>
    </w:p>
    <w:p>
      <w:pPr>
        <w:pStyle w:val="ListParagraph"/>
        <w:numPr>
          <w:ilvl w:val="0"/>
          <w:numId w:val="2"/>
        </w:numPr>
        <w:spacing w:after="60" w:before="60" w:line="300"/>
      </w:pPr>
      <w:r>
        <w:rPr>
          <w:rFonts w:ascii="Arial" w:cs="Arial" w:eastAsia="Arial" w:hAnsi="Arial"/>
          <w:b w:val="false"/>
          <w:bCs w:val="false"/>
          <w:sz w:val="22"/>
          <w:szCs w:val="22"/>
        </w:rPr>
        <w:t xml:space="preserve">Establish an internal Accessibility Center of Excellence with executive sponsor</w:t>
      </w:r>
    </w:p>
    <w:p>
      <w:pPr>
        <w:spacing w:after="160" w:before="0"/>
      </w:pPr>
      <w:r>
        <w:t xml:space="preserve"/>
      </w:r>
    </w:p>
    <w:p>
      <w:pPr>
        <w:pStyle w:val="Heading1"/>
        <w:pBdr>
          <w:bottom w:val="single" w:color="2E5FA3" w:sz="6" w:space="4"/>
        </w:pBdr>
        <w:spacing w:after="160" w:before="400"/>
      </w:pPr>
      <w:r>
        <w:rPr>
          <w:rFonts w:ascii="Arial" w:cs="Arial" w:eastAsia="Arial" w:hAnsi="Arial"/>
          <w:b/>
          <w:bCs/>
          <w:color w:val="1B3A6B"/>
          <w:sz w:val="36"/>
          <w:szCs w:val="36"/>
        </w:rPr>
        <w:t xml:space="preserve">VII. CONCLUSION</w:t>
      </w:r>
    </w:p>
    <w:p>
      <w:pPr>
        <w:spacing w:after="120" w:before="80" w:line="320"/>
      </w:pPr>
      <w:r>
        <w:rPr>
          <w:rFonts w:ascii="Arial" w:cs="Arial" w:eastAsia="Arial" w:hAnsi="Arial"/>
          <w:sz w:val="22"/>
          <w:szCs w:val="22"/>
        </w:rPr>
        <w:t xml:space="preserve">Capital One Financial Corporation is unambiguously subject to federal digital accessibility obligations under the Americans with Disabilities Act, the Rehabilitation Act of 1973, and associated regulatory frameworks. These obligations are not discretionary, aspirational, or contingent on prior DOJ enforcement action. They are existing legal duties enforceable through federal court litigation, DOJ compliance reviews, CFPB enforcement, and OCC examination.</w:t>
      </w:r>
    </w:p>
    <w:p>
      <w:pPr>
        <w:spacing w:after="120" w:before="80" w:line="320"/>
      </w:pPr>
      <w:r>
        <w:rPr>
          <w:rFonts w:ascii="Arial" w:cs="Arial" w:eastAsia="Arial" w:hAnsi="Arial"/>
          <w:sz w:val="22"/>
          <w:szCs w:val="22"/>
        </w:rPr>
        <w:t xml:space="preserve">This audit of the Contact Us page identified 7 Critical and 5 Moderate accessibility deficiencies. Among the Critical findings, the most significant is not a WCAG code issue at all — it is the complete absence of an email or written electronic contact channel, which constitutes an independent ADA structural violation under 28 C.F.R. § 36.303. For users who cannot use the telephone, this page provides no equivalent means of reaching Capital One for fraud reporting, dispute resolution, or account servicing. That failure alone warrants immediate remediation.</w:t>
      </w:r>
    </w:p>
    <w:p>
      <w:pPr>
        <w:spacing w:after="120" w:before="80" w:line="320"/>
      </w:pPr>
      <w:r>
        <w:rPr>
          <w:rFonts w:ascii="Arial" w:cs="Arial" w:eastAsia="Arial" w:hAnsi="Arial"/>
          <w:sz w:val="22"/>
          <w:szCs w:val="22"/>
        </w:rPr>
        <w:t xml:space="preserve">Remediation is not merely advisable — it is legally required. The institution should treat the findings in this report as actionable compliance obligations, prioritize the immediate corrections identified in Section VI, and initiate a structured, enterprise-wide accessibility program to achieve and maintain conformance on a continuous basis.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6E0" w:val="clear"/>
            <w:tcMar>
              <w:top w:type="dxa" w:w="120"/>
              <w:left w:type="dxa" w:w="160"/>
              <w:bottom w:type="dxa" w:w="120"/>
              <w:right w:type="dxa" w:w="160"/>
            </w:tcMar>
          </w:tcPr>
          <w:p>
            <w:pPr>
              <w:spacing w:after="60" w:before="0"/>
            </w:pPr>
            <w:r>
              <w:rPr>
                <w:rFonts w:ascii="Arial" w:cs="Arial" w:eastAsia="Arial" w:hAnsi="Arial"/>
                <w:b/>
                <w:bCs/>
                <w:color w:val="7A5200"/>
                <w:sz w:val="20"/>
                <w:szCs w:val="20"/>
              </w:rPr>
              <w:t xml:space="preserve">IMPORTANT NOTE</w:t>
            </w:r>
          </w:p>
          <w:p>
            <w:pPr>
              <w:spacing w:after="0" w:before="0"/>
            </w:pPr>
            <w:r>
              <w:rPr>
                <w:rFonts w:ascii="Arial" w:cs="Arial" w:eastAsia="Arial" w:hAnsi="Arial"/>
                <w:color w:val="333333"/>
                <w:sz w:val="20"/>
                <w:szCs w:val="20"/>
              </w:rPr>
              <w:t xml:space="preserve">This audit was prepared as an internal compliance review document. It does not constitute legal advice. Capital One should consult with qualified accessibility counsel and engage a certified accessibility auditor for a full VPAT (Voluntary Product Accessibility Template) and WCAG Conformance Report prior to any public conformance claim.</w:t>
            </w:r>
          </w:p>
        </w:tc>
      </w:tr>
    </w:tbl>
    <w:p>
      <w:pPr>
        <w:spacing w:after="160" w:before="0"/>
      </w:pPr>
      <w:r>
        <w:t xml:space="preserve"/>
      </w:r>
    </w:p>
    <w:p>
      <w:pPr>
        <w:pBdr>
          <w:bottom w:val="single" w:color="CCCCCC" w:sz="4" w:space="1"/>
        </w:pBdr>
        <w:spacing w:after="200" w:before="200"/>
      </w:pPr>
      <w:r>
        <w:t xml:space="preserve"/>
      </w:r>
    </w:p>
    <w:p>
      <w:pPr>
        <w:spacing w:after="80" w:before="200"/>
        <w:jc w:val="center"/>
      </w:pPr>
      <w:r>
        <w:rPr>
          <w:rFonts w:ascii="Arial" w:cs="Arial" w:eastAsia="Arial" w:hAnsi="Arial"/>
          <w:b/>
          <w:bCs/>
          <w:color w:val="888888"/>
          <w:sz w:val="20"/>
          <w:szCs w:val="20"/>
        </w:rPr>
        <w:t xml:space="preserve">END OF OFFICIAL AUDIT REPORT</w:t>
      </w:r>
    </w:p>
    <w:p>
      <w:pPr>
        <w:spacing w:after="0" w:before="0"/>
        <w:jc w:val="center"/>
      </w:pPr>
      <w:r>
        <w:rPr>
          <w:rFonts w:ascii="Arial" w:cs="Arial" w:eastAsia="Arial" w:hAnsi="Arial"/>
          <w:color w:val="AAAAAA"/>
          <w:sz w:val="16"/>
          <w:szCs w:val="16"/>
        </w:rPr>
        <w:t xml:space="preserve">Capital One Financial Corporation  |  Digital Accessibility Compliance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pPr>
    <w:r>
      <w:rPr>
        <w:rFonts w:ascii="Arial" w:cs="Arial" w:eastAsia="Arial" w:hAnsi="Arial"/>
        <w:color w:val="888888"/>
        <w:sz w:val="16"/>
        <w:szCs w:val="16"/>
      </w:rPr>
      <w:t xml:space="preserve">Digital Accessibility Audit  |  capitalone.com/help-center/contact-us/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before="0"/>
    </w:pPr>
    <w:r>
      <w:rPr>
        <w:rFonts w:ascii="Arial" w:cs="Arial" w:eastAsia="Arial" w:hAnsi="Arial"/>
        <w:b/>
        <w:bCs/>
        <w:color w:val="2E5FA3"/>
        <w:sz w:val="18"/>
        <w:szCs w:val="18"/>
      </w:rPr>
      <w:t xml:space="preserve">OFFICIAL ACCESSIBILITY COMPLIANCE AUDIT</w:t>
    </w:r>
    <w:r>
      <w:rPr>
        <w:rFonts w:ascii="Arial" w:cs="Arial" w:eastAsia="Arial" w:hAnsi="Arial"/>
        <w:color w:val="888888"/>
        <w:sz w:val="18"/>
        <w:szCs w:val="18"/>
      </w:rPr>
      <w:t xml:space="preserve">   |   CAPITAL ONE FINANCIAL CORPORATION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2026-04-10T09:16:43.359Z</dcterms:created>
  <dcterms:modified xsi:type="dcterms:W3CDTF">2026-04-10T09:16:43.360Z</dcterms:modified>
</cp:coreProperties>
</file>

<file path=docProps/custom.xml><?xml version="1.0" encoding="utf-8"?>
<Properties xmlns="http://schemas.openxmlformats.org/officeDocument/2006/custom-properties" xmlns:vt="http://schemas.openxmlformats.org/officeDocument/2006/docPropsVTypes"/>
</file>