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213B5D"/>
          <w:sz w:val="48"/>
          <w:szCs w:val="48"/>
        </w:rPr>
        <w:t xml:space="preserve">DOWNTOWN COLORADO SPRINGS</w:t>
      </w:r>
    </w:p>
    <w:p>
      <w:pPr>
        <w:spacing w:after="80" w:before="0"/>
        <w:jc w:val="center"/>
      </w:pPr>
      <w:r>
        <w:rPr>
          <w:rFonts w:ascii="Arial" w:cs="Arial" w:eastAsia="Arial" w:hAnsi="Arial"/>
          <w:b/>
          <w:bCs/>
          <w:color w:val="4A6100"/>
          <w:sz w:val="30"/>
          <w:szCs w:val="30"/>
        </w:rPr>
        <w:t xml:space="preserve">Transparency, Compliance &amp; Opportunity Report</w:t>
      </w:r>
    </w:p>
    <w:p>
      <w:pPr>
        <w:spacing w:after="480" w:before="0"/>
        <w:jc w:val="center"/>
      </w:pPr>
      <w:r>
        <w:rPr>
          <w:rFonts w:ascii="Arial" w:cs="Arial" w:eastAsia="Arial" w:hAnsi="Arial"/>
          <w:color w:val="777777"/>
          <w:sz w:val="22"/>
          <w:szCs w:val="22"/>
        </w:rPr>
        <w:t xml:space="preserve">April 2026 | Prepared for Public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8E8F5" w:val="clear"/>
            <w:tcMar>
              <w:top w:type="dxa" w:w="120"/>
              <w:left w:type="dxa" w:w="180"/>
              <w:bottom w:type="dxa" w:w="120"/>
              <w:right w:type="dxa" w:w="180"/>
            </w:tcMar>
          </w:tcPr>
          <w:p>
            <w:pPr>
              <w:spacing w:after="0" w:before="0"/>
            </w:pPr>
            <w:r>
              <w:rPr>
                <w:rFonts w:ascii="Arial" w:cs="Arial" w:eastAsia="Arial" w:hAnsi="Arial"/>
                <w:i/>
                <w:iCs/>
                <w:sz w:val="20"/>
                <w:szCs w:val="20"/>
              </w:rPr>
              <w:t xml:space="preserve">This report is free, built from public records, and written so that a resident, business owner, or property owner can read it — not just a lawyer or a lobbyist. All data cited is sourced from publicly available Colorado state records, the Downtown Partnership's own publications, and official government filings.</w:t>
            </w:r>
          </w:p>
        </w:tc>
      </w:tr>
    </w:tbl>
    <w:p>
      <w:pPr>
        <w:spacing w:after="0" w:before="240"/>
      </w:pPr>
    </w:p>
    <w:p>
      <w:pPr>
        <w:pStyle w:val="Heading1"/>
        <w:pBdr>
          <w:bottom w:val="single" w:color="4A6100" w:sz="8" w:space="4"/>
        </w:pBdr>
        <w:spacing w:after="160" w:before="360"/>
      </w:pPr>
      <w:r>
        <w:rPr>
          <w:rFonts w:ascii="Arial" w:cs="Arial" w:eastAsia="Arial" w:hAnsi="Arial"/>
          <w:b/>
          <w:bCs/>
          <w:color w:val="213B5D"/>
          <w:sz w:val="32"/>
          <w:szCs w:val="32"/>
        </w:rPr>
        <w:t xml:space="preserve">Section 1: The Elevate Downtown Plan — What Replaced Experience Downtown</w:t>
      </w:r>
    </w:p>
    <w:p>
      <w:pPr>
        <w:spacing w:after="100" w:before="60"/>
        <w:jc w:val="both"/>
      </w:pPr>
      <w:r>
        <w:rPr>
          <w:rFonts w:ascii="Arial" w:cs="Arial" w:eastAsia="Arial" w:hAnsi="Arial"/>
          <w:sz w:val="22"/>
          <w:szCs w:val="22"/>
        </w:rPr>
        <w:t xml:space="preserve">The original Experience Downtown Plan was adopted by Colorado Springs City Council in November 2016. For nearly a decade it served as the official Plan of Development for the Downtown Development Authority (DDA), outlining eight primary goals and 36 action steps. That plan is now effectively obsolete. After years of dramatic growth — $2.66 billion in investment, a near-doubling of the residential population, and transformational new venues — the Downtown Partnership began a formal update process in early 2025. The result is a new document called the Elevate Downtown Plan.</w:t>
      </w:r>
    </w:p>
    <w:p>
      <w:pPr>
        <w:pStyle w:val="Heading2"/>
        <w:spacing w:after="120" w:before="280"/>
      </w:pPr>
      <w:r>
        <w:rPr>
          <w:rFonts w:ascii="Arial" w:cs="Arial" w:eastAsia="Arial" w:hAnsi="Arial"/>
          <w:b/>
          <w:bCs/>
          <w:color w:val="213B5D"/>
          <w:sz w:val="26"/>
          <w:szCs w:val="26"/>
        </w:rPr>
        <w:t xml:space="preserve">What the Elevate Downtown Plan Is</w:t>
      </w:r>
    </w:p>
    <w:p>
      <w:pPr>
        <w:spacing w:after="100" w:before="60"/>
        <w:jc w:val="both"/>
      </w:pPr>
      <w:r>
        <w:rPr>
          <w:rFonts w:ascii="Arial" w:cs="Arial" w:eastAsia="Arial" w:hAnsi="Arial"/>
          <w:sz w:val="22"/>
          <w:szCs w:val="22"/>
        </w:rPr>
        <w:t xml:space="preserve">The Elevate Downtown Plan is not simply a revised version of the 2016 document. It reflects a fundamentally different downtown than the one that existed when the original plan was written. In 2016, downtown had roughly 1,100 housing units and was just beginning its residential expansion. By 2025, there are 3,075 residential units — more than 80 percent of which have been built since 2015 — and the residential population jumped from 2,574 in 2024 to 4,860 in 2025 alone. The plan had to catch up with a city that had already transformed.</w:t>
      </w:r>
    </w:p>
    <w:p>
      <w:pPr>
        <w:pStyle w:val="Heading2"/>
        <w:spacing w:after="120" w:before="280"/>
      </w:pPr>
      <w:r>
        <w:rPr>
          <w:rFonts w:ascii="Arial" w:cs="Arial" w:eastAsia="Arial" w:hAnsi="Arial"/>
          <w:b/>
          <w:bCs/>
          <w:color w:val="213B5D"/>
          <w:sz w:val="26"/>
          <w:szCs w:val="26"/>
        </w:rPr>
        <w:t xml:space="preserve">The Process: Timeline and Community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13B5D"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7160"/>
            <w:tcBorders>
              <w:top w:val="single" w:color="CCCCCC" w:sz="1"/>
              <w:left w:val="single" w:color="CCCCCC" w:sz="1"/>
              <w:bottom w:val="single" w:color="CCCCCC" w:sz="1"/>
              <w:right w:val="single" w:color="CCCCCC" w:sz="1"/>
            </w:tcBorders>
            <w:shd w:fill="213B5D"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312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0"/>
                <w:szCs w:val="20"/>
              </w:rPr>
              <w:t xml:space="preserve">Early 2025</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Stakeholder interviews and focus groups launched: small business owners, property owners, housing providers, residents, arts organizations, large employers, transit groups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March 5, 2025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Community survey closed — first step of public outreach in year-long process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March 10, 2025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 session presentation to Colorado Springs City Council</w:t>
            </w:r>
          </w:p>
        </w:tc>
      </w:tr>
      <w:tr>
        <w:tc>
          <w:tcPr>
            <w:tcW w:type="dxa" w:w="312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0"/>
                <w:szCs w:val="20"/>
              </w:rPr>
              <w:t xml:space="preserve">May 8, 2025</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Two open houses: Coffee &amp; Chat at Pioneers Museum; Walk and Talk tour of catalytic sites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June 6, 2025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Pop-Up event at First Friday Scavenger Hunt with QR codes for Virtual Open House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August 1, 2025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Pop-Up event at First Friday art walk outside Auric Gallery</w:t>
            </w:r>
          </w:p>
        </w:tc>
      </w:tr>
      <w:tr>
        <w:tc>
          <w:tcPr>
            <w:tcW w:type="dxa" w:w="312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0"/>
                <w:szCs w:val="20"/>
              </w:rPr>
              <w:t xml:space="preserve">August 12, 2025</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Pop-Up event at Food Truck Tuesday on Pioneers Museum lawn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September 16, 2025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DDA Board review</w:t>
            </w:r>
          </w:p>
        </w:tc>
      </w:tr>
      <w:tr>
        <w:tc>
          <w:tcPr>
            <w:tcW w:type="dxa" w:w="312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0"/>
                <w:szCs w:val="20"/>
              </w:rPr>
              <w:t xml:space="preserve">October 2025</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Downtown Review Board and Planning Commission review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October 27, 2025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 Council review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December 2025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draft of Elevate Downtown Plan released publicly</w:t>
            </w:r>
          </w:p>
        </w:tc>
      </w:tr>
      <w:tr>
        <w:tc>
          <w:tcPr>
            <w:tcW w:type="dxa" w:w="312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0"/>
                <w:szCs w:val="20"/>
              </w:rPr>
              <w:t xml:space="preserve">Holiday Stroll</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Final in-person engagement event; online platform open through January 11, 2026 — nearly 1,000 participants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February 17, 2026</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DDA Board approval meeting (completed)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March 3, 2026</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Downtown Review Board approval meeting (completed)</w:t>
            </w:r>
          </w:p>
        </w:tc>
      </w:tr>
      <w:tr>
        <w:tc>
          <w:tcPr>
            <w:tcW w:type="dxa" w:w="312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0"/>
                <w:szCs w:val="20"/>
              </w:rPr>
              <w:t xml:space="preserve">April 8, 2026</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Planning Commission approval meeting (completed)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May 26, 2026</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Colorado Springs City Council final adoption vote (pending)</w:t>
            </w:r>
          </w:p>
        </w:tc>
      </w:tr>
    </w:tbl>
    <w:p>
      <w:pPr>
        <w:spacing w:after="0" w:before="120"/>
      </w:pPr>
    </w:p>
    <w:p>
      <w:pPr>
        <w:pStyle w:val="Heading2"/>
        <w:spacing w:after="120" w:before="280"/>
      </w:pPr>
      <w:r>
        <w:rPr>
          <w:rFonts w:ascii="Arial" w:cs="Arial" w:eastAsia="Arial" w:hAnsi="Arial"/>
          <w:b/>
          <w:bCs/>
          <w:color w:val="213B5D"/>
          <w:sz w:val="26"/>
          <w:szCs w:val="26"/>
        </w:rPr>
        <w:t xml:space="preserve">Why It Took Ten Years</w:t>
      </w:r>
    </w:p>
    <w:p>
      <w:pPr>
        <w:spacing w:after="100" w:before="60"/>
        <w:jc w:val="both"/>
      </w:pPr>
      <w:r>
        <w:rPr>
          <w:rFonts w:ascii="Arial" w:cs="Arial" w:eastAsia="Arial" w:hAnsi="Arial"/>
          <w:sz w:val="22"/>
          <w:szCs w:val="22"/>
        </w:rPr>
        <w:t xml:space="preserve">The 2016 plan was written for a downtown that needed catalysts. By 2025, those catalysts had arrived — and then some. The plan needed updating because the facts on the ground had completely changed: the US Olympic and Paralympic Museum opened, Weidner Field opened, hundreds of residential units came online, Palmer High School began a $117 million renovation, and $2.66 billion in total investment flowed into the district. A plan written to attract development was now governing a downtown that was already developing. The update was necessary and overdue.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120"/>
              <w:left w:type="dxa" w:w="180"/>
              <w:bottom w:type="dxa" w:w="120"/>
              <w:right w:type="dxa" w:w="180"/>
            </w:tcMar>
          </w:tcPr>
          <w:p>
            <w:pPr>
              <w:spacing w:after="0" w:before="0"/>
            </w:pPr>
            <w:r>
              <w:rPr>
                <w:rFonts w:ascii="Arial" w:cs="Arial" w:eastAsia="Arial" w:hAnsi="Arial"/>
                <w:i/>
                <w:iCs/>
                <w:sz w:val="20"/>
                <w:szCs w:val="20"/>
              </w:rPr>
              <w:t xml:space="preserve">WHAT IS STILL MISSING: The Elevate Downtown Plan has not yet been formally adopted by City Council (vote expected May 26, 2026). The plan itself — even in draft form — is not posted in a searchable, parcel-linked format. Residents and business owners can download a PDF but cannot search it by address, property, or topic. The plan's action steps are not tracked publicly. There is no dashboard showing which of the 36 original action steps were completed and which were abandoned.</w:t>
            </w:r>
          </w:p>
        </w:tc>
      </w:tr>
    </w:tbl>
    <w:p>
      <w:pPr>
        <w:pBdr>
          <w:bottom w:val="single" w:color="CCCCCC" w:sz="4" w:space="1"/>
        </w:pBdr>
        <w:spacing w:after="160" w:before="160"/>
      </w:pPr>
    </w:p>
    <w:p>
      <w:pPr>
        <w:pStyle w:val="Heading1"/>
        <w:pBdr>
          <w:bottom w:val="single" w:color="4A6100" w:sz="8" w:space="4"/>
        </w:pBdr>
        <w:spacing w:after="160" w:before="360"/>
      </w:pPr>
      <w:r>
        <w:rPr>
          <w:rFonts w:ascii="Arial" w:cs="Arial" w:eastAsia="Arial" w:hAnsi="Arial"/>
          <w:b/>
          <w:bCs/>
          <w:color w:val="213B5D"/>
          <w:sz w:val="32"/>
          <w:szCs w:val="32"/>
        </w:rPr>
        <w:t xml:space="preserve">Section 2: The Visitor Guide and Small Business Directory</w:t>
      </w:r>
    </w:p>
    <w:p>
      <w:pPr>
        <w:spacing w:after="100" w:before="60"/>
        <w:jc w:val="both"/>
      </w:pPr>
      <w:r>
        <w:rPr>
          <w:rFonts w:ascii="Arial" w:cs="Arial" w:eastAsia="Arial" w:hAnsi="Arial"/>
          <w:sz w:val="22"/>
          <w:szCs w:val="22"/>
        </w:rPr>
        <w:t xml:space="preserve">The Explore Downtown section of downtowncs.com serves as the primary consumer-facing guide to downtown's businesses. It links to an online directory, lists local favorites, describes tours, parks, and urban trails. It is the digital front door for the 180-plus independent businesses that make up downtown's commercial fabric.</w:t>
      </w:r>
    </w:p>
    <w:p>
      <w:pPr>
        <w:pStyle w:val="Heading2"/>
        <w:spacing w:after="120" w:before="280"/>
      </w:pPr>
      <w:r>
        <w:rPr>
          <w:rFonts w:ascii="Arial" w:cs="Arial" w:eastAsia="Arial" w:hAnsi="Arial"/>
          <w:b/>
          <w:bCs/>
          <w:color w:val="213B5D"/>
          <w:sz w:val="26"/>
          <w:szCs w:val="26"/>
        </w:rPr>
        <w:t xml:space="preserve">What the Numbers Actually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13B5D"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213B5D" w:val="clear"/>
            <w:tcMar>
              <w:top w:type="dxa" w:w="80"/>
              <w:left w:type="dxa" w:w="120"/>
              <w:bottom w:type="dxa" w:w="80"/>
              <w:right w:type="dxa" w:w="120"/>
            </w:tcMar>
          </w:tcPr>
          <w:p>
            <w:r>
              <w:rPr>
                <w:rFonts w:ascii="Arial" w:cs="Arial" w:eastAsia="Arial" w:hAnsi="Arial"/>
                <w:b/>
                <w:bCs/>
                <w:color w:val="FFFFFF"/>
                <w:sz w:val="20"/>
                <w:szCs w:val="20"/>
              </w:rPr>
              <w:t xml:space="preserve">Figure</w:t>
            </w:r>
          </w:p>
        </w:tc>
      </w:tr>
      <w:tr>
        <w:tc>
          <w:tcPr>
            <w:tcW w:type="dxa" w:w="312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0"/>
                <w:szCs w:val="20"/>
              </w:rPr>
              <w:t xml:space="preserve">Total independent businesses</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180+ shops, restaurants, and services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Locally owned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of all storefront businesses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Downtown Gift Card locations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 locations accept the card</w:t>
            </w:r>
          </w:p>
        </w:tc>
      </w:tr>
      <w:tr>
        <w:tc>
          <w:tcPr>
            <w:tcW w:type="dxa" w:w="312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0"/>
                <w:szCs w:val="20"/>
              </w:rPr>
              <w:t xml:space="preserve">New businesses opened (2025)</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Nearly 40 new openings in 2025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Total sales increase (2025)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Nearly 7% over 2024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Soft retail sales increase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over 2023 driven by strong holiday shopping</w:t>
            </w:r>
          </w:p>
        </w:tc>
      </w:tr>
      <w:tr>
        <w:tc>
          <w:tcPr>
            <w:tcW w:type="dxa" w:w="312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0"/>
                <w:szCs w:val="20"/>
              </w:rPr>
              <w:t xml:space="preserve">Service business sales</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-14.8% over 2024 (law offices, consultants)</w:t>
            </w:r>
          </w:p>
        </w:tc>
      </w:tr>
    </w:tbl>
    <w:p>
      <w:pPr>
        <w:spacing w:after="0" w:before="120"/>
      </w:pPr>
    </w:p>
    <w:p>
      <w:pPr>
        <w:pStyle w:val="Heading2"/>
        <w:spacing w:after="120" w:before="280"/>
      </w:pPr>
      <w:r>
        <w:rPr>
          <w:rFonts w:ascii="Arial" w:cs="Arial" w:eastAsia="Arial" w:hAnsi="Arial"/>
          <w:b/>
          <w:bCs/>
          <w:color w:val="213B5D"/>
          <w:sz w:val="26"/>
          <w:szCs w:val="26"/>
        </w:rPr>
        <w:t xml:space="preserve">What the Directory Is Missing</w:t>
      </w:r>
    </w:p>
    <w:p>
      <w:pPr>
        <w:spacing w:after="100" w:before="60"/>
        <w:jc w:val="both"/>
      </w:pPr>
      <w:r>
        <w:rPr>
          <w:rFonts w:ascii="Arial" w:cs="Arial" w:eastAsia="Arial" w:hAnsi="Arial"/>
          <w:sz w:val="22"/>
          <w:szCs w:val="22"/>
        </w:rPr>
        <w:t xml:space="preserve">Despite the directory existing online, it does not function as a proper business resource for the purposes of transparency, discoverability, or business-to-business connection. Specifically:</w:t>
      </w:r>
    </w:p>
    <w:p>
      <w:pPr>
        <w:pStyle w:val="ListParagraph"/>
        <w:numPr>
          <w:ilvl w:val="0"/>
          <w:numId w:val="2"/>
        </w:numPr>
        <w:spacing w:after="40" w:before="40"/>
      </w:pPr>
      <w:r>
        <w:rPr>
          <w:rFonts w:ascii="Arial" w:cs="Arial" w:eastAsia="Arial" w:hAnsi="Arial"/>
          <w:sz w:val="22"/>
          <w:szCs w:val="22"/>
        </w:rPr>
        <w:t xml:space="preserve">No machine-readable export of business listings — no CSV, no API, no structured data</w:t>
      </w:r>
    </w:p>
    <w:p>
      <w:pPr>
        <w:pStyle w:val="ListParagraph"/>
        <w:numPr>
          <w:ilvl w:val="0"/>
          <w:numId w:val="2"/>
        </w:numPr>
        <w:spacing w:after="40" w:before="40"/>
      </w:pPr>
      <w:r>
        <w:rPr>
          <w:rFonts w:ascii="Arial" w:cs="Arial" w:eastAsia="Arial" w:hAnsi="Arial"/>
          <w:sz w:val="22"/>
          <w:szCs w:val="22"/>
        </w:rPr>
        <w:t xml:space="preserve">Email addresses are not consistently listed for individual businesses</w:t>
      </w:r>
    </w:p>
    <w:p>
      <w:pPr>
        <w:pStyle w:val="ListParagraph"/>
        <w:numPr>
          <w:ilvl w:val="0"/>
          <w:numId w:val="2"/>
        </w:numPr>
        <w:spacing w:after="40" w:before="40"/>
      </w:pPr>
      <w:r>
        <w:rPr>
          <w:rFonts w:ascii="Arial" w:cs="Arial" w:eastAsia="Arial" w:hAnsi="Arial"/>
          <w:sz w:val="22"/>
          <w:szCs w:val="22"/>
        </w:rPr>
        <w:t xml:space="preserve">Phone numbers are inconsistently posted — some businesses have them, many do not</w:t>
      </w:r>
    </w:p>
    <w:p>
      <w:pPr>
        <w:pStyle w:val="ListParagraph"/>
        <w:numPr>
          <w:ilvl w:val="0"/>
          <w:numId w:val="2"/>
        </w:numPr>
        <w:spacing w:after="40" w:before="40"/>
      </w:pPr>
      <w:r>
        <w:rPr>
          <w:rFonts w:ascii="Arial" w:cs="Arial" w:eastAsia="Arial" w:hAnsi="Arial"/>
          <w:sz w:val="22"/>
          <w:szCs w:val="22"/>
        </w:rPr>
        <w:t xml:space="preserve">No indication of which businesses receive BID services, DDA grants, or TIF reimbursements</w:t>
      </w:r>
    </w:p>
    <w:p>
      <w:pPr>
        <w:pStyle w:val="ListParagraph"/>
        <w:numPr>
          <w:ilvl w:val="0"/>
          <w:numId w:val="2"/>
        </w:numPr>
        <w:spacing w:after="40" w:before="40"/>
      </w:pPr>
      <w:r>
        <w:rPr>
          <w:rFonts w:ascii="Arial" w:cs="Arial" w:eastAsia="Arial" w:hAnsi="Arial"/>
          <w:sz w:val="22"/>
          <w:szCs w:val="22"/>
        </w:rPr>
        <w:t xml:space="preserve">No parcel connection — you cannot look up an address and see what businesses are there, what grants they received, or what their permit history is</w:t>
      </w:r>
    </w:p>
    <w:p>
      <w:pPr>
        <w:pStyle w:val="ListParagraph"/>
        <w:numPr>
          <w:ilvl w:val="0"/>
          <w:numId w:val="2"/>
        </w:numPr>
        <w:spacing w:after="40" w:before="40"/>
      </w:pPr>
      <w:r>
        <w:rPr>
          <w:rFonts w:ascii="Arial" w:cs="Arial" w:eastAsia="Arial" w:hAnsi="Arial"/>
          <w:sz w:val="22"/>
          <w:szCs w:val="22"/>
        </w:rPr>
        <w:t xml:space="preserve">The Discover Downtown Pass covers 100+ businesses but there is no public list of participating businesses with contact info</w:t>
      </w:r>
    </w:p>
    <w:p>
      <w:pPr>
        <w:pStyle w:val="ListParagraph"/>
        <w:numPr>
          <w:ilvl w:val="0"/>
          <w:numId w:val="2"/>
        </w:numPr>
        <w:spacing w:after="40" w:before="40"/>
      </w:pPr>
      <w:r>
        <w:rPr>
          <w:rFonts w:ascii="Arial" w:cs="Arial" w:eastAsia="Arial" w:hAnsi="Arial"/>
          <w:sz w:val="22"/>
          <w:szCs w:val="22"/>
        </w:rPr>
        <w:t xml:space="preserve">No hours of operation consistently maintained or audited</w:t>
      </w:r>
    </w:p>
    <w:p>
      <w:pPr>
        <w:pStyle w:val="ListParagraph"/>
        <w:numPr>
          <w:ilvl w:val="0"/>
          <w:numId w:val="2"/>
        </w:numPr>
        <w:spacing w:after="40" w:before="40"/>
      </w:pPr>
      <w:r>
        <w:rPr>
          <w:rFonts w:ascii="Arial" w:cs="Arial" w:eastAsia="Arial" w:hAnsi="Arial"/>
          <w:sz w:val="22"/>
          <w:szCs w:val="22"/>
        </w:rPr>
        <w:t xml:space="preserve">No ADA accessibility information for individual businesses (ramps, accessible entrances, etc.)</w:t>
      </w:r>
    </w:p>
    <w:p>
      <w:pPr>
        <w:pStyle w:val="ListParagraph"/>
        <w:numPr>
          <w:ilvl w:val="0"/>
          <w:numId w:val="2"/>
        </w:numPr>
        <w:spacing w:after="40" w:before="40"/>
      </w:pPr>
      <w:r>
        <w:rPr>
          <w:rFonts w:ascii="Arial" w:cs="Arial" w:eastAsia="Arial" w:hAnsi="Arial"/>
          <w:sz w:val="22"/>
          <w:szCs w:val="22"/>
        </w:rPr>
        <w:t xml:space="preserve">No indication of which businesses are veteran-owned, minority-owned, or women-owned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8EDD8" w:val="clear"/>
            <w:tcMar>
              <w:top w:type="dxa" w:w="120"/>
              <w:left w:type="dxa" w:w="180"/>
              <w:bottom w:type="dxa" w:w="120"/>
              <w:right w:type="dxa" w:w="180"/>
            </w:tcMar>
          </w:tcPr>
          <w:p>
            <w:pPr>
              <w:spacing w:after="0" w:before="0"/>
            </w:pPr>
            <w:r>
              <w:rPr>
                <w:rFonts w:ascii="Arial" w:cs="Arial" w:eastAsia="Arial" w:hAnsi="Arial"/>
                <w:i/>
                <w:iCs/>
                <w:sz w:val="20"/>
                <w:szCs w:val="20"/>
              </w:rPr>
              <w:t xml:space="preserve">OPPORTUNITY: A parcel-linked business directory — one where every listing is tied to an address, a parcel ID, a grant history, and a permit record — would give small business owners, tourists, property owners, and residents a single source of truth. This is exactly the gap the platform described in this project is designed to fill.</w:t>
            </w:r>
          </w:p>
        </w:tc>
      </w:tr>
    </w:tbl>
    <w:p>
      <w:pPr>
        <w:pBdr>
          <w:bottom w:val="single" w:color="CCCCCC" w:sz="4" w:space="1"/>
        </w:pBdr>
        <w:spacing w:after="160" w:before="160"/>
      </w:pPr>
    </w:p>
    <w:p>
      <w:pPr>
        <w:pStyle w:val="Heading1"/>
        <w:pBdr>
          <w:bottom w:val="single" w:color="4A6100" w:sz="8" w:space="4"/>
        </w:pBdr>
        <w:spacing w:after="160" w:before="360"/>
      </w:pPr>
      <w:r>
        <w:rPr>
          <w:rFonts w:ascii="Arial" w:cs="Arial" w:eastAsia="Arial" w:hAnsi="Arial"/>
          <w:b/>
          <w:bCs/>
          <w:color w:val="213B5D"/>
          <w:sz w:val="32"/>
          <w:szCs w:val="32"/>
        </w:rPr>
        <w:t xml:space="preserve">Section 3: What Is Being Developed for Tourists</w:t>
      </w:r>
    </w:p>
    <w:p>
      <w:pPr>
        <w:spacing w:after="100" w:before="60"/>
        <w:jc w:val="both"/>
      </w:pPr>
      <w:r>
        <w:rPr>
          <w:rFonts w:ascii="Arial" w:cs="Arial" w:eastAsia="Arial" w:hAnsi="Arial"/>
          <w:sz w:val="22"/>
          <w:szCs w:val="22"/>
        </w:rPr>
        <w:t xml:space="preserve">Downtown Colorado Springs is in the middle of the largest wave of tourism infrastructure investment in its history. The combination of City for Champions anchor venues, new hotel supply, a revitalized street environment, and growing residential density is reshaping what tourists experience when they arrive. Here is what has opened, what is under construction, and what is planned.</w:t>
      </w:r>
    </w:p>
    <w:p>
      <w:pPr>
        <w:pStyle w:val="Heading2"/>
        <w:spacing w:after="120" w:before="280"/>
      </w:pPr>
      <w:r>
        <w:rPr>
          <w:rFonts w:ascii="Arial" w:cs="Arial" w:eastAsia="Arial" w:hAnsi="Arial"/>
          <w:b/>
          <w:bCs/>
          <w:color w:val="213B5D"/>
          <w:sz w:val="26"/>
          <w:szCs w:val="26"/>
        </w:rPr>
        <w:t xml:space="preserve">Completed and Open (2024-2025)</w:t>
      </w:r>
    </w:p>
    <w:p>
      <w:pPr>
        <w:pStyle w:val="ListParagraph"/>
        <w:numPr>
          <w:ilvl w:val="0"/>
          <w:numId w:val="2"/>
        </w:numPr>
        <w:spacing w:after="40" w:before="40"/>
      </w:pPr>
      <w:r>
        <w:rPr>
          <w:rFonts w:ascii="Arial" w:cs="Arial" w:eastAsia="Arial" w:hAnsi="Arial"/>
          <w:b/>
          <w:bCs/>
          <w:sz w:val="22"/>
          <w:szCs w:val="22"/>
        </w:rPr>
        <w:t xml:space="preserve">Weidner Field. </w:t>
      </w:r>
      <w:r>
        <w:rPr>
          <w:rFonts w:ascii="Arial" w:cs="Arial" w:eastAsia="Arial" w:hAnsi="Arial"/>
          <w:sz w:val="22"/>
          <w:szCs w:val="22"/>
        </w:rPr>
        <w:t xml:space="preserve">Weidner Field opened April 2024 — home of the Colorado Springs Switchbacks FC professional soccer team. Part of the City for Champions initiative. Major concert draw: Jonas Brothers, Jason Aldean. Draws hundreds of thousands of visitors annually.</w:t>
      </w:r>
    </w:p>
    <w:p>
      <w:pPr>
        <w:pStyle w:val="ListParagraph"/>
        <w:numPr>
          <w:ilvl w:val="0"/>
          <w:numId w:val="2"/>
        </w:numPr>
        <w:spacing w:after="40" w:before="40"/>
      </w:pPr>
      <w:r>
        <w:rPr>
          <w:rFonts w:ascii="Arial" w:cs="Arial" w:eastAsia="Arial" w:hAnsi="Arial"/>
          <w:b/>
          <w:bCs/>
          <w:sz w:val="22"/>
          <w:szCs w:val="22"/>
        </w:rPr>
        <w:t xml:space="preserve">Sunset Amphitheater. </w:t>
      </w:r>
      <w:r>
        <w:rPr>
          <w:rFonts w:ascii="Arial" w:cs="Arial" w:eastAsia="Arial" w:hAnsi="Arial"/>
          <w:sz w:val="22"/>
          <w:szCs w:val="22"/>
        </w:rPr>
        <w:t xml:space="preserve">Sunset Amphitheater opened August 2024 — $90-million, 8,000-seat open-air concert venue. 133 private fire-pit suites, rooftop bars, upscale chophouse. OneRepublic played the inaugural weekend. Located outside the DDA boundary but draws visitors directly into downtown.</w:t>
      </w:r>
    </w:p>
    <w:p>
      <w:pPr>
        <w:pStyle w:val="ListParagraph"/>
        <w:numPr>
          <w:ilvl w:val="0"/>
          <w:numId w:val="2"/>
        </w:numPr>
        <w:spacing w:after="40" w:before="40"/>
      </w:pPr>
      <w:r>
        <w:rPr>
          <w:rFonts w:ascii="Arial" w:cs="Arial" w:eastAsia="Arial" w:hAnsi="Arial"/>
          <w:b/>
          <w:bCs/>
          <w:sz w:val="22"/>
          <w:szCs w:val="22"/>
        </w:rPr>
        <w:t xml:space="preserve">Hotel Polaris. </w:t>
      </w:r>
      <w:r>
        <w:rPr>
          <w:rFonts w:ascii="Arial" w:cs="Arial" w:eastAsia="Arial" w:hAnsi="Arial"/>
          <w:sz w:val="22"/>
          <w:szCs w:val="22"/>
        </w:rPr>
        <w:t xml:space="preserve">Hotel Polaris opened November 2024 — 375-room hotel on US Air Force Academy grounds. Full-service spa, multiple restaurants, three flight simulators. Part of TrueNorth Commons, a mixed-use development that includes 200,000 sq ft of commercial space and 30,000 sq ft of retail.</w:t>
      </w:r>
    </w:p>
    <w:p>
      <w:pPr>
        <w:pStyle w:val="ListParagraph"/>
        <w:numPr>
          <w:ilvl w:val="0"/>
          <w:numId w:val="2"/>
        </w:numPr>
        <w:spacing w:after="40" w:before="40"/>
      </w:pPr>
      <w:r>
        <w:rPr>
          <w:rFonts w:ascii="Arial" w:cs="Arial" w:eastAsia="Arial" w:hAnsi="Arial"/>
          <w:b/>
          <w:bCs/>
          <w:sz w:val="22"/>
          <w:szCs w:val="22"/>
        </w:rPr>
        <w:t xml:space="preserve">Tejon St. Revitalization. </w:t>
      </w:r>
      <w:r>
        <w:rPr>
          <w:rFonts w:ascii="Arial" w:cs="Arial" w:eastAsia="Arial" w:hAnsi="Arial"/>
          <w:sz w:val="22"/>
          <w:szCs w:val="22"/>
        </w:rPr>
        <w:t xml:space="preserve">Tejon Street Revitalization completed December 2025 — $8.6 million project widened walkways, expanded outdoor dining, relocated deliveries. Two blocks of Tejon Street between Colorado Avenue and Kiowa Street rebuilt for pedestrian priority.</w:t>
      </w:r>
    </w:p>
    <w:p>
      <w:pPr>
        <w:pStyle w:val="ListParagraph"/>
        <w:numPr>
          <w:ilvl w:val="0"/>
          <w:numId w:val="2"/>
        </w:numPr>
        <w:spacing w:after="40" w:before="40"/>
      </w:pPr>
      <w:r>
        <w:rPr>
          <w:rFonts w:ascii="Arial" w:cs="Arial" w:eastAsia="Arial" w:hAnsi="Arial"/>
          <w:b/>
          <w:bCs/>
          <w:sz w:val="22"/>
          <w:szCs w:val="22"/>
        </w:rPr>
        <w:t xml:space="preserve">USOPM. </w:t>
      </w:r>
      <w:r>
        <w:rPr>
          <w:rFonts w:ascii="Arial" w:cs="Arial" w:eastAsia="Arial" w:hAnsi="Arial"/>
          <w:sz w:val="22"/>
          <w:szCs w:val="22"/>
        </w:rPr>
        <w:t xml:space="preserve">US Olympic and Paralympic Museum — 83,582 ticketed visitors in 2024, up significantly from 69,929 in 2023. Total site visits including the plaza and cafe reached 114,500. A major driver of downtown foot traffic.</w:t>
      </w:r>
    </w:p>
    <w:p>
      <w:pPr>
        <w:pStyle w:val="ListParagraph"/>
        <w:numPr>
          <w:ilvl w:val="0"/>
          <w:numId w:val="2"/>
        </w:numPr>
        <w:spacing w:after="40" w:before="40"/>
      </w:pPr>
      <w:r>
        <w:rPr>
          <w:rFonts w:ascii="Arial" w:cs="Arial" w:eastAsia="Arial" w:hAnsi="Arial"/>
          <w:b/>
          <w:bCs/>
          <w:sz w:val="22"/>
          <w:szCs w:val="22"/>
        </w:rPr>
        <w:t xml:space="preserve">Ed Robson Arena. </w:t>
      </w:r>
      <w:r>
        <w:rPr>
          <w:rFonts w:ascii="Arial" w:cs="Arial" w:eastAsia="Arial" w:hAnsi="Arial"/>
          <w:sz w:val="22"/>
          <w:szCs w:val="22"/>
        </w:rPr>
        <w:t xml:space="preserve">Ed Robson Arena at Colorado College — hosted the Downtown Partnership Annual Breakfast with a record 750 attendees. Draws events and regional conferences.</w:t>
      </w:r>
    </w:p>
    <w:p>
      <w:pPr>
        <w:pStyle w:val="ListParagraph"/>
        <w:numPr>
          <w:ilvl w:val="0"/>
          <w:numId w:val="2"/>
        </w:numPr>
        <w:spacing w:after="40" w:before="40"/>
      </w:pPr>
      <w:r>
        <w:rPr>
          <w:rFonts w:ascii="Arial" w:cs="Arial" w:eastAsia="Arial" w:hAnsi="Arial"/>
          <w:b/>
          <w:bCs/>
          <w:sz w:val="22"/>
          <w:szCs w:val="22"/>
        </w:rPr>
        <w:t xml:space="preserve">Combined venues. </w:t>
      </w:r>
      <w:r>
        <w:rPr>
          <w:rFonts w:ascii="Arial" w:cs="Arial" w:eastAsia="Arial" w:hAnsi="Arial"/>
          <w:sz w:val="22"/>
          <w:szCs w:val="22"/>
        </w:rPr>
        <w:t xml:space="preserve">City for Champions venues combined — more than 530,000 visits to downtown in 2025.</w:t>
      </w:r>
    </w:p>
    <w:p>
      <w:pPr>
        <w:pStyle w:val="Heading2"/>
        <w:spacing w:after="120" w:before="280"/>
      </w:pPr>
      <w:r>
        <w:rPr>
          <w:rFonts w:ascii="Arial" w:cs="Arial" w:eastAsia="Arial" w:hAnsi="Arial"/>
          <w:b/>
          <w:bCs/>
          <w:color w:val="213B5D"/>
          <w:sz w:val="26"/>
          <w:szCs w:val="26"/>
        </w:rPr>
        <w:t xml:space="preserve">Under Construction and Planned (2026+)</w:t>
      </w:r>
    </w:p>
    <w:p>
      <w:pPr>
        <w:pStyle w:val="ListParagraph"/>
        <w:numPr>
          <w:ilvl w:val="0"/>
          <w:numId w:val="2"/>
        </w:numPr>
        <w:spacing w:after="40" w:before="40"/>
      </w:pPr>
      <w:r>
        <w:rPr>
          <w:rFonts w:ascii="Arial" w:cs="Arial" w:eastAsia="Arial" w:hAnsi="Arial"/>
          <w:b/>
          <w:bCs/>
          <w:sz w:val="22"/>
          <w:szCs w:val="22"/>
        </w:rPr>
        <w:t xml:space="preserve">Catbird Hotel. </w:t>
      </w:r>
      <w:r>
        <w:rPr>
          <w:rFonts w:ascii="Arial" w:cs="Arial" w:eastAsia="Arial" w:hAnsi="Arial"/>
          <w:sz w:val="22"/>
          <w:szCs w:val="22"/>
        </w:rPr>
        <w:t xml:space="preserve">Catbird Extended-Stay Hotel — announced by Norwood Development Group and Sage Hospitality Group. Seven stories, 181 rooms, northwest corner of Cascade Avenue and Moreno Street. Groundbreaking expected 2026.</w:t>
      </w:r>
    </w:p>
    <w:p>
      <w:pPr>
        <w:pStyle w:val="ListParagraph"/>
        <w:numPr>
          <w:ilvl w:val="0"/>
          <w:numId w:val="2"/>
        </w:numPr>
        <w:spacing w:after="40" w:before="40"/>
      </w:pPr>
      <w:r>
        <w:rPr>
          <w:rFonts w:ascii="Arial" w:cs="Arial" w:eastAsia="Arial" w:hAnsi="Arial"/>
          <w:b/>
          <w:bCs/>
          <w:sz w:val="22"/>
          <w:szCs w:val="22"/>
        </w:rPr>
        <w:t xml:space="preserve">Hosmer Visitor Center. </w:t>
      </w:r>
      <w:r>
        <w:rPr>
          <w:rFonts w:ascii="Arial" w:cs="Arial" w:eastAsia="Arial" w:hAnsi="Arial"/>
          <w:sz w:val="22"/>
          <w:szCs w:val="22"/>
        </w:rPr>
        <w:t xml:space="preserve">Hosmer Visitor Center — $41 million Colorado Welcome Center nearing completion at the Air Force Academy. Will feature experiential exhibits including a day-in-the-life-of-a-cadet experience.</w:t>
      </w:r>
    </w:p>
    <w:p>
      <w:pPr>
        <w:pStyle w:val="ListParagraph"/>
        <w:numPr>
          <w:ilvl w:val="0"/>
          <w:numId w:val="2"/>
        </w:numPr>
        <w:spacing w:after="40" w:before="40"/>
      </w:pPr>
      <w:r>
        <w:rPr>
          <w:rFonts w:ascii="Arial" w:cs="Arial" w:eastAsia="Arial" w:hAnsi="Arial"/>
          <w:b/>
          <w:bCs/>
          <w:sz w:val="22"/>
          <w:szCs w:val="22"/>
        </w:rPr>
        <w:t xml:space="preserve">Airport Expansion. </w:t>
      </w:r>
      <w:r>
        <w:rPr>
          <w:rFonts w:ascii="Arial" w:cs="Arial" w:eastAsia="Arial" w:hAnsi="Arial"/>
          <w:sz w:val="22"/>
          <w:szCs w:val="22"/>
        </w:rPr>
        <w:t xml:space="preserve">ElevateCOS Airport Expansion — $36 million initiative to double terminal gates from 12 to 24. Three of seven phases complete as of year-end 2025. Full completion expected May 2026. Positions COS as alternative to Denver International for southern Colorado.</w:t>
      </w:r>
    </w:p>
    <w:p>
      <w:pPr>
        <w:pStyle w:val="ListParagraph"/>
        <w:numPr>
          <w:ilvl w:val="0"/>
          <w:numId w:val="2"/>
        </w:numPr>
        <w:spacing w:after="40" w:before="40"/>
      </w:pPr>
      <w:r>
        <w:rPr>
          <w:rFonts w:ascii="Arial" w:cs="Arial" w:eastAsia="Arial" w:hAnsi="Arial"/>
          <w:b/>
          <w:bCs/>
          <w:sz w:val="22"/>
          <w:szCs w:val="22"/>
        </w:rPr>
        <w:t xml:space="preserve">Residential pipeline. </w:t>
      </w:r>
      <w:r>
        <w:rPr>
          <w:rFonts w:ascii="Arial" w:cs="Arial" w:eastAsia="Arial" w:hAnsi="Arial"/>
          <w:sz w:val="22"/>
          <w:szCs w:val="22"/>
        </w:rPr>
        <w:t xml:space="preserve">Residential pipeline — over 1,000 additional units slated for 2025 delivery, nearly 1,000 more the following year. More residents drive consistent daily demand for retail, dining, and services that supports tourism-adjacent businesses.</w:t>
      </w:r>
    </w:p>
    <w:p>
      <w:pPr>
        <w:pStyle w:val="ListParagraph"/>
        <w:numPr>
          <w:ilvl w:val="0"/>
          <w:numId w:val="2"/>
        </w:numPr>
        <w:spacing w:after="40" w:before="40"/>
      </w:pPr>
      <w:r>
        <w:rPr>
          <w:rFonts w:ascii="Arial" w:cs="Arial" w:eastAsia="Arial" w:hAnsi="Arial"/>
          <w:b/>
          <w:bCs/>
          <w:sz w:val="22"/>
          <w:szCs w:val="22"/>
        </w:rPr>
        <w:t xml:space="preserve">Palmer High School. </w:t>
      </w:r>
      <w:r>
        <w:rPr>
          <w:rFonts w:ascii="Arial" w:cs="Arial" w:eastAsia="Arial" w:hAnsi="Arial"/>
          <w:sz w:val="22"/>
          <w:szCs w:val="22"/>
        </w:rPr>
        <w:t xml:space="preserve">Palmer High School renovation — $117 million project underway. A major anchor for the east side of downtown.</w:t>
      </w:r>
    </w:p>
    <w:p>
      <w:pPr>
        <w:pStyle w:val="ListParagraph"/>
        <w:numPr>
          <w:ilvl w:val="0"/>
          <w:numId w:val="2"/>
        </w:numPr>
        <w:spacing w:after="40" w:before="40"/>
      </w:pPr>
      <w:r>
        <w:rPr>
          <w:rFonts w:ascii="Arial" w:cs="Arial" w:eastAsia="Arial" w:hAnsi="Arial"/>
          <w:b/>
          <w:bCs/>
          <w:sz w:val="22"/>
          <w:szCs w:val="22"/>
        </w:rPr>
        <w:t xml:space="preserve">Union Printers Home. </w:t>
      </w:r>
      <w:r>
        <w:rPr>
          <w:rFonts w:ascii="Arial" w:cs="Arial" w:eastAsia="Arial" w:hAnsi="Arial"/>
          <w:sz w:val="22"/>
          <w:szCs w:val="22"/>
        </w:rPr>
        <w:t xml:space="preserve">Union Printers Home at Printers Hill — historic 1889 castle being redeveloped as dynamic urban community with residential, commercial, boutique hotel, restaurants, and gardens around Memorial Park.</w:t>
      </w:r>
    </w:p>
    <w:p>
      <w:pPr>
        <w:pStyle w:val="Heading2"/>
        <w:spacing w:after="120" w:before="280"/>
      </w:pPr>
      <w:r>
        <w:rPr>
          <w:rFonts w:ascii="Arial" w:cs="Arial" w:eastAsia="Arial" w:hAnsi="Arial"/>
          <w:b/>
          <w:bCs/>
          <w:color w:val="213B5D"/>
          <w:sz w:val="26"/>
          <w:szCs w:val="26"/>
        </w:rPr>
        <w:t xml:space="preserve">The Tourism Numbers in Context</w:t>
      </w:r>
    </w:p>
    <w:p>
      <w:pPr>
        <w:spacing w:after="100" w:before="60"/>
        <w:jc w:val="both"/>
      </w:pPr>
      <w:r>
        <w:rPr>
          <w:rFonts w:ascii="Arial" w:cs="Arial" w:eastAsia="Arial" w:hAnsi="Arial"/>
          <w:sz w:val="22"/>
          <w:szCs w:val="22"/>
        </w:rPr>
        <w:t xml:space="preserve">Tourism visitation citywide increased 2.7% in 2024 while spending rose 5.2%, according to Visit Colorado Springs. Downtown hotel revenue reached just under $46.5 million in 2024. Downtown occupancy held stable in the mid-60s in 2025 despite government travel declines caused by Space Command relocation and federal per-diem rate reductions. The downtown hotel market is well-positioned but faces near-term headwinds from government travel softness — making leisure and convention tourism all the more critical to sustain the investment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120"/>
              <w:left w:type="dxa" w:w="180"/>
              <w:bottom w:type="dxa" w:w="120"/>
              <w:right w:type="dxa" w:w="180"/>
            </w:tcMar>
          </w:tcPr>
          <w:p>
            <w:pPr>
              <w:spacing w:after="0" w:before="0"/>
            </w:pPr>
            <w:r>
              <w:rPr>
                <w:rFonts w:ascii="Arial" w:cs="Arial" w:eastAsia="Arial" w:hAnsi="Arial"/>
                <w:i/>
                <w:iCs/>
                <w:sz w:val="20"/>
                <w:szCs w:val="20"/>
              </w:rPr>
              <w:t xml:space="preserve">THE MISSING CONNECTION: Despite $2.66 billion in total investment since 2013 and $190.2 million more since 2024, there is no public dashboard showing what publicly funded incentives (DDA grants, TIF reimbursements, BID assessments) are attached to which tourism projects. A visitor arriving at Weidner Field has no way of knowing that public TIF dollars helped make it possible. A small business owner on Tejon Street cannot easily find out whether the streetscape project that benefited their storefront was publicly funded, and by which entity.</w:t>
            </w:r>
          </w:p>
        </w:tc>
      </w:tr>
    </w:tbl>
    <w:p>
      <w:pPr>
        <w:pBdr>
          <w:bottom w:val="single" w:color="CCCCCC" w:sz="4" w:space="1"/>
        </w:pBdr>
        <w:spacing w:after="160" w:before="160"/>
      </w:pPr>
    </w:p>
    <w:p>
      <w:pPr>
        <w:pStyle w:val="Heading1"/>
        <w:pBdr>
          <w:bottom w:val="single" w:color="4A6100" w:sz="8" w:space="4"/>
        </w:pBdr>
        <w:spacing w:after="160" w:before="360"/>
      </w:pPr>
      <w:r>
        <w:rPr>
          <w:rFonts w:ascii="Arial" w:cs="Arial" w:eastAsia="Arial" w:hAnsi="Arial"/>
          <w:b/>
          <w:bCs/>
          <w:color w:val="213B5D"/>
          <w:sz w:val="32"/>
          <w:szCs w:val="32"/>
        </w:rPr>
        <w:t xml:space="preserve">Section 4: Legal Violations, Compliance Failures, and What Needs to Happen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8E8F5" w:val="clear"/>
            <w:tcMar>
              <w:top w:type="dxa" w:w="120"/>
              <w:left w:type="dxa" w:w="180"/>
              <w:bottom w:type="dxa" w:w="120"/>
              <w:right w:type="dxa" w:w="180"/>
            </w:tcMar>
          </w:tcPr>
          <w:p>
            <w:pPr>
              <w:spacing w:after="0" w:before="0"/>
            </w:pPr>
            <w:r>
              <w:rPr>
                <w:rFonts w:ascii="Arial" w:cs="Arial" w:eastAsia="Arial" w:hAnsi="Arial"/>
                <w:i/>
                <w:iCs/>
                <w:sz w:val="20"/>
                <w:szCs w:val="20"/>
              </w:rPr>
              <w:t xml:space="preserve">IMPORTANT: Nothing in this section constitutes legal advice. It is a plain-language description of publicly documented legal requirements and observed gaps, based on Colorado statutes, federal law, and publicly available records. For legal action, consult an attorney with experience in Colorado municipal and special district law.</w:t>
            </w:r>
          </w:p>
        </w:tc>
      </w:tr>
    </w:tbl>
    <w:p>
      <w:pPr>
        <w:pStyle w:val="Heading2"/>
        <w:spacing w:after="120" w:before="280"/>
      </w:pPr>
      <w:r>
        <w:rPr>
          <w:rFonts w:ascii="Arial" w:cs="Arial" w:eastAsia="Arial" w:hAnsi="Arial"/>
          <w:b/>
          <w:bCs/>
          <w:color w:val="213B5D"/>
          <w:sz w:val="26"/>
          <w:szCs w:val="26"/>
        </w:rPr>
        <w:t xml:space="preserve">4A. Colorado State Law Violations — BID and DDA</w:t>
      </w:r>
    </w:p>
    <w:p>
      <w:pPr>
        <w:pStyle w:val="Heading3"/>
        <w:spacing w:after="80" w:before="200"/>
      </w:pPr>
      <w:r>
        <w:rPr>
          <w:rFonts w:ascii="Arial" w:cs="Arial" w:eastAsia="Arial" w:hAnsi="Arial"/>
          <w:b/>
          <w:bCs/>
          <w:color w:val="4A6100"/>
          <w:sz w:val="22"/>
          <w:szCs w:val="22"/>
        </w:rPr>
        <w:t xml:space="preserve">Missing Annual Audits</w:t>
      </w:r>
    </w:p>
    <w:p>
      <w:pPr>
        <w:spacing w:after="100" w:before="60"/>
        <w:jc w:val="both"/>
      </w:pPr>
      <w:r>
        <w:rPr>
          <w:rFonts w:ascii="Arial" w:cs="Arial" w:eastAsia="Arial" w:hAnsi="Arial"/>
          <w:sz w:val="22"/>
          <w:szCs w:val="22"/>
        </w:rPr>
        <w:t xml:space="preserve">Under C.R.S. 29-1-603, every local government in Colorado — including special districts like the BID and DDA — must cause to be made an annual audit of its financial statements. Under C.R.S. 29-1-606, that audit must be submitted to the Colorado State Auditor within 30 days of receipt from the auditor, no later than July 31 annually.</w:t>
      </w:r>
    </w:p>
    <w:p>
      <w:pPr>
        <w:spacing w:after="100" w:before="60"/>
        <w:jc w:val="both"/>
      </w:pPr>
      <w:r>
        <w:rPr>
          <w:rFonts w:ascii="Arial" w:cs="Arial" w:eastAsia="Arial" w:hAnsi="Arial"/>
          <w:sz w:val="22"/>
          <w:szCs w:val="22"/>
        </w:rPr>
        <w:t xml:space="preserve">The penalty for non-compliance is explicit: under C.R.S. 29-1-606(3) and (5), if an audit is not filed, the county treasurer may be ordered to withhold district tax revenues. That means El Paso County could withhold BID and DDA mill levy proceeds until they comply.</w:t>
      </w:r>
    </w:p>
    <w:p>
      <w:pPr>
        <w:spacing w:after="100" w:before="60"/>
        <w:jc w:val="both"/>
      </w:pPr>
      <w:r>
        <w:rPr>
          <w:rFonts w:ascii="Arial" w:cs="Arial" w:eastAsia="Arial" w:hAnsi="Arial"/>
          <w:sz w:val="22"/>
          <w:szCs w:val="22"/>
        </w:rPr>
        <w:t xml:space="preserve">Neither the BID nor the DDA posts audited financial statements on their website. Whether audits are being filed with the State Auditor but simply not published online — or whether there is a filing gap — is unknown without a CORA request to the Office of the State Auditor.</w:t>
      </w:r>
    </w:p>
    <w:p>
      <w:pPr>
        <w:pStyle w:val="ListParagraph"/>
        <w:numPr>
          <w:ilvl w:val="0"/>
          <w:numId w:val="2"/>
        </w:numPr>
        <w:spacing w:after="40" w:before="40"/>
      </w:pPr>
      <w:r>
        <w:rPr>
          <w:rFonts w:ascii="Arial" w:cs="Arial" w:eastAsia="Arial" w:hAnsi="Arial"/>
          <w:sz w:val="22"/>
          <w:szCs w:val="22"/>
        </w:rPr>
        <w:t xml:space="preserve">Action required: File CORA request with Colorado Office of the State Auditor (osa.lg@coleg.gov / 303-869-3000) to confirm audit filing status for BID and DDA.</w:t>
      </w:r>
    </w:p>
    <w:p>
      <w:pPr>
        <w:pStyle w:val="Heading3"/>
        <w:spacing w:after="80" w:before="200"/>
      </w:pPr>
      <w:r>
        <w:rPr>
          <w:rFonts w:ascii="Arial" w:cs="Arial" w:eastAsia="Arial" w:hAnsi="Arial"/>
          <w:b/>
          <w:bCs/>
          <w:color w:val="4A6100"/>
          <w:sz w:val="22"/>
          <w:szCs w:val="22"/>
        </w:rPr>
        <w:t xml:space="preserve">Missing Annual Budget</w:t>
      </w:r>
    </w:p>
    <w:p>
      <w:pPr>
        <w:spacing w:after="100" w:before="60"/>
        <w:jc w:val="both"/>
      </w:pPr>
      <w:r>
        <w:rPr>
          <w:rFonts w:ascii="Arial" w:cs="Arial" w:eastAsia="Arial" w:hAnsi="Arial"/>
          <w:sz w:val="22"/>
          <w:szCs w:val="22"/>
        </w:rPr>
        <w:t xml:space="preserve">Under C.R.S. 29-1-101 et seq., every special district must adopt an annual budget and submit it to the Colorado Division of Local Government by January 31 of the budget year. The budget must contain revenues, expenditures, and fund balances, and include a message on significant budget issues.</w:t>
      </w:r>
    </w:p>
    <w:p>
      <w:pPr>
        <w:spacing w:after="100" w:before="60"/>
        <w:jc w:val="both"/>
      </w:pPr>
      <w:r>
        <w:rPr>
          <w:rFonts w:ascii="Arial" w:cs="Arial" w:eastAsia="Arial" w:hAnsi="Arial"/>
          <w:sz w:val="22"/>
          <w:szCs w:val="22"/>
        </w:rPr>
        <w:t xml:space="preserve">Neither the BID nor the DDA posts an adopted annual budget on their website. No budget document is linked anywhere on downtowncs.com.</w:t>
      </w:r>
    </w:p>
    <w:p>
      <w:pPr>
        <w:pStyle w:val="ListParagraph"/>
        <w:numPr>
          <w:ilvl w:val="0"/>
          <w:numId w:val="2"/>
        </w:numPr>
        <w:spacing w:after="40" w:before="40"/>
      </w:pPr>
      <w:r>
        <w:rPr>
          <w:rFonts w:ascii="Arial" w:cs="Arial" w:eastAsia="Arial" w:hAnsi="Arial"/>
          <w:sz w:val="22"/>
          <w:szCs w:val="22"/>
        </w:rPr>
        <w:t xml:space="preserve">Action required: File CORA request with Downtown Partnership / BID / DDA (719-886-0088) for adopted budgets for fiscal years 2022 through 2025.</w:t>
      </w:r>
    </w:p>
    <w:p>
      <w:pPr>
        <w:pStyle w:val="Heading3"/>
        <w:spacing w:after="80" w:before="200"/>
      </w:pPr>
      <w:r>
        <w:rPr>
          <w:rFonts w:ascii="Arial" w:cs="Arial" w:eastAsia="Arial" w:hAnsi="Arial"/>
          <w:b/>
          <w:bCs/>
          <w:color w:val="4A6100"/>
          <w:sz w:val="22"/>
          <w:szCs w:val="22"/>
        </w:rPr>
        <w:t xml:space="preserve">Missing Annual Report — C.R.S. 32-1-207</w:t>
      </w:r>
    </w:p>
    <w:p>
      <w:pPr>
        <w:spacing w:after="100" w:before="60"/>
        <w:jc w:val="both"/>
      </w:pPr>
      <w:r>
        <w:rPr>
          <w:rFonts w:ascii="Arial" w:cs="Arial" w:eastAsia="Arial" w:hAnsi="Arial"/>
          <w:sz w:val="22"/>
          <w:szCs w:val="22"/>
        </w:rPr>
        <w:t xml:space="preserve">Under C.R.S. 32-1-207(3)(c), special districts must electronically file an annual report with the governing body that approved their service plan, the Division of Local Government, the State Auditor, and the county clerk and recorder. The report must include a copy of the audited financial statements and must be made available on the district's website. This requirement commenced in 2023 for the 2022 calendar year.</w:t>
      </w:r>
    </w:p>
    <w:p>
      <w:pPr>
        <w:pStyle w:val="ListParagraph"/>
        <w:numPr>
          <w:ilvl w:val="0"/>
          <w:numId w:val="2"/>
        </w:numPr>
        <w:spacing w:after="40" w:before="40"/>
      </w:pPr>
      <w:r>
        <w:rPr>
          <w:rFonts w:ascii="Arial" w:cs="Arial" w:eastAsia="Arial" w:hAnsi="Arial"/>
          <w:sz w:val="22"/>
          <w:szCs w:val="22"/>
        </w:rPr>
        <w:t xml:space="preserve">Action required: Confirm with Colorado Division of Local Government (dola_dlg_helpdesk@state.co.us) whether annual reports have been filed for the BID and DDA for calendar years 2022, 2023, and 2024.</w:t>
      </w:r>
    </w:p>
    <w:p>
      <w:pPr>
        <w:pStyle w:val="Heading3"/>
        <w:spacing w:after="80" w:before="200"/>
      </w:pPr>
      <w:r>
        <w:rPr>
          <w:rFonts w:ascii="Arial" w:cs="Arial" w:eastAsia="Arial" w:hAnsi="Arial"/>
          <w:b/>
          <w:bCs/>
          <w:color w:val="4A6100"/>
          <w:sz w:val="22"/>
          <w:szCs w:val="22"/>
        </w:rPr>
        <w:t xml:space="preserve">Missing CORA Policy</w:t>
      </w:r>
    </w:p>
    <w:p>
      <w:pPr>
        <w:spacing w:after="100" w:before="60"/>
        <w:jc w:val="both"/>
      </w:pPr>
      <w:r>
        <w:rPr>
          <w:rFonts w:ascii="Arial" w:cs="Arial" w:eastAsia="Arial" w:hAnsi="Arial"/>
          <w:sz w:val="22"/>
          <w:szCs w:val="22"/>
        </w:rPr>
        <w:t xml:space="preserve">Special districts are subject to the Colorado Open Records Act. Districts that have not adopted and published a CORA policy cannot charge fees for research and retrieval of public records. There is no published CORA policy on the Downtown Partnership / BID / DDA website. This means any resident can request records and the district cannot charge for staff time to retrieve them.</w:t>
      </w:r>
    </w:p>
    <w:p>
      <w:pPr>
        <w:pStyle w:val="Heading2"/>
        <w:spacing w:after="120" w:before="280"/>
      </w:pPr>
      <w:r>
        <w:rPr>
          <w:rFonts w:ascii="Arial" w:cs="Arial" w:eastAsia="Arial" w:hAnsi="Arial"/>
          <w:b/>
          <w:bCs/>
          <w:color w:val="213B5D"/>
          <w:sz w:val="26"/>
          <w:szCs w:val="26"/>
        </w:rPr>
        <w:t xml:space="preserve">4B. Federal ADA Violations — Web Accessibility</w:t>
      </w:r>
    </w:p>
    <w:p>
      <w:pPr>
        <w:pStyle w:val="Heading3"/>
        <w:spacing w:after="80" w:before="200"/>
      </w:pPr>
      <w:r>
        <w:rPr>
          <w:rFonts w:ascii="Arial" w:cs="Arial" w:eastAsia="Arial" w:hAnsi="Arial"/>
          <w:b/>
          <w:bCs/>
          <w:color w:val="4A6100"/>
          <w:sz w:val="22"/>
          <w:szCs w:val="22"/>
        </w:rPr>
        <w:t xml:space="preserve">Title II — BID and DDA (Quasi-Governmental)</w:t>
      </w:r>
    </w:p>
    <w:p>
      <w:pPr>
        <w:spacing w:after="100" w:before="60"/>
        <w:jc w:val="both"/>
      </w:pPr>
      <w:r>
        <w:rPr>
          <w:rFonts w:ascii="Arial" w:cs="Arial" w:eastAsia="Arial" w:hAnsi="Arial"/>
          <w:sz w:val="22"/>
          <w:szCs w:val="22"/>
        </w:rPr>
        <w:t xml:space="preserve">The BID and DDA are special purpose districts — quasi-governmental entities and political subdivisions of the State of Colorado. As such, they are covered by Title II of the Americans with Disabilities Act and the Department of Justice's April 2024 final rule on web accessibility.</w:t>
      </w:r>
    </w:p>
    <w:p>
      <w:pPr>
        <w:spacing w:after="100" w:before="60"/>
        <w:jc w:val="both"/>
      </w:pPr>
      <w:r>
        <w:rPr>
          <w:rFonts w:ascii="Arial" w:cs="Arial" w:eastAsia="Arial" w:hAnsi="Arial"/>
          <w:sz w:val="22"/>
          <w:szCs w:val="22"/>
        </w:rPr>
        <w:t xml:space="preserve">The compliance deadline for jurisdictions with a population of 50,000 or more is April 24, 2026 — fourteen days from the date of this report. Colorado Springs exceeds that threshold. After April 24, 2026, WCAG 2.1 Level AA compliance is a federal legal requirement for all web content published by the BID and DDA, including PDFs.</w:t>
      </w:r>
    </w:p>
    <w:p>
      <w:pPr>
        <w:spacing w:after="100" w:before="60"/>
        <w:jc w:val="both"/>
      </w:pPr>
      <w:r>
        <w:rPr>
          <w:rFonts w:ascii="Arial" w:cs="Arial" w:eastAsia="Arial" w:hAnsi="Arial"/>
          <w:sz w:val="22"/>
          <w:szCs w:val="22"/>
        </w:rPr>
        <w:t xml:space="preserve">Current status of downtowncs.com as it relates to BID and DDA web content:</w:t>
      </w:r>
    </w:p>
    <w:p>
      <w:pPr>
        <w:pStyle w:val="ListParagraph"/>
        <w:numPr>
          <w:ilvl w:val="0"/>
          <w:numId w:val="2"/>
        </w:numPr>
        <w:spacing w:after="40" w:before="40"/>
      </w:pPr>
      <w:r>
        <w:rPr>
          <w:rFonts w:ascii="Arial" w:cs="Arial" w:eastAsia="Arial" w:hAnsi="Arial"/>
          <w:sz w:val="22"/>
          <w:szCs w:val="22"/>
        </w:rPr>
        <w:t xml:space="preserve">Meeting minutes are posted as PDFs. These PDFs are almost certainly untagged, meaning they are completely inaccessible to screen readers. WCAG 1.3.1 requires tagged, structured PDFs.</w:t>
      </w:r>
    </w:p>
    <w:p>
      <w:pPr>
        <w:pStyle w:val="ListParagraph"/>
        <w:numPr>
          <w:ilvl w:val="0"/>
          <w:numId w:val="2"/>
        </w:numPr>
        <w:spacing w:after="40" w:before="40"/>
      </w:pPr>
      <w:r>
        <w:rPr>
          <w:rFonts w:ascii="Arial" w:cs="Arial" w:eastAsia="Arial" w:hAnsi="Arial"/>
          <w:sz w:val="22"/>
          <w:szCs w:val="22"/>
        </w:rPr>
        <w:t xml:space="preserve">No audited financial statements, budgets, or grant records are posted — so there is nothing to make accessible, but the absence of the documents is itself a compliance problem.</w:t>
      </w:r>
    </w:p>
    <w:p>
      <w:pPr>
        <w:pStyle w:val="ListParagraph"/>
        <w:numPr>
          <w:ilvl w:val="0"/>
          <w:numId w:val="2"/>
        </w:numPr>
        <w:spacing w:after="40" w:before="40"/>
      </w:pPr>
      <w:r>
        <w:rPr>
          <w:rFonts w:ascii="Arial" w:cs="Arial" w:eastAsia="Arial" w:hAnsi="Arial"/>
          <w:sz w:val="22"/>
          <w:szCs w:val="22"/>
        </w:rPr>
        <w:t xml:space="preserve">The BID and DDA meeting agendas are not consistently posted in advance, denying people with disabilities the ability to prepare for and participate in public meetings.</w:t>
      </w:r>
    </w:p>
    <w:p>
      <w:pPr>
        <w:pStyle w:val="ListParagraph"/>
        <w:numPr>
          <w:ilvl w:val="0"/>
          <w:numId w:val="2"/>
        </w:numPr>
        <w:spacing w:after="40" w:before="40"/>
      </w:pPr>
      <w:r>
        <w:rPr>
          <w:rFonts w:ascii="Arial" w:cs="Arial" w:eastAsia="Arial" w:hAnsi="Arial"/>
          <w:sz w:val="22"/>
          <w:szCs w:val="22"/>
        </w:rPr>
        <w:t xml:space="preserve">Color contrast on the website (as audited in this project) does not consistently meet 4.5:1 for normal-weight text at smaller font sizes.</w:t>
      </w:r>
    </w:p>
    <w:p>
      <w:pPr>
        <w:pStyle w:val="ListParagraph"/>
        <w:numPr>
          <w:ilvl w:val="0"/>
          <w:numId w:val="2"/>
        </w:numPr>
        <w:spacing w:after="40" w:before="40"/>
      </w:pPr>
      <w:r>
        <w:rPr>
          <w:rFonts w:ascii="Arial" w:cs="Arial" w:eastAsia="Arial" w:hAnsi="Arial"/>
          <w:sz w:val="22"/>
          <w:szCs w:val="22"/>
        </w:rPr>
        <w:t xml:space="preserve">Form elements lack consistently associated labels, which is a WCAG 1.3.1 and 4.1.2 failure.</w:t>
      </w:r>
    </w:p>
    <w:p>
      <w:pPr>
        <w:pStyle w:val="Heading3"/>
        <w:spacing w:after="80" w:before="200"/>
      </w:pPr>
      <w:r>
        <w:rPr>
          <w:rFonts w:ascii="Arial" w:cs="Arial" w:eastAsia="Arial" w:hAnsi="Arial"/>
          <w:b/>
          <w:bCs/>
          <w:color w:val="4A6100"/>
          <w:sz w:val="22"/>
          <w:szCs w:val="22"/>
        </w:rPr>
        <w:t xml:space="preserve">Title III — Downtown Partnership (501c4 Nonprofit)</w:t>
      </w:r>
    </w:p>
    <w:p>
      <w:pPr>
        <w:spacing w:after="100" w:before="60"/>
        <w:jc w:val="both"/>
      </w:pPr>
      <w:r>
        <w:rPr>
          <w:rFonts w:ascii="Arial" w:cs="Arial" w:eastAsia="Arial" w:hAnsi="Arial"/>
          <w:sz w:val="22"/>
          <w:szCs w:val="22"/>
        </w:rPr>
        <w:t xml:space="preserve">As a 501(c)(4) nonprofit open to the public, the Downtown Partnership is covered by Title III of the ADA. Title III requires that nonprofits serving the public make their programs and services accessible to people with disabilities, including through their digital properties. Courts have increasingly held that inaccessible websites constitute discrimination under Title III. The risk is both legal (potential litigation, uncapped attorney's fees, $500 per-incident damages) and reputational.</w:t>
      </w:r>
    </w:p>
    <w:p>
      <w:pPr>
        <w:pStyle w:val="Heading3"/>
        <w:spacing w:after="80" w:before="200"/>
      </w:pPr>
      <w:r>
        <w:rPr>
          <w:rFonts w:ascii="Arial" w:cs="Arial" w:eastAsia="Arial" w:hAnsi="Arial"/>
          <w:b/>
          <w:bCs/>
          <w:color w:val="4A6100"/>
          <w:sz w:val="22"/>
          <w:szCs w:val="22"/>
        </w:rPr>
        <w:t xml:space="preserve">The Contractor Liability Bridge</w:t>
      </w:r>
    </w:p>
    <w:p>
      <w:pPr>
        <w:spacing w:after="100" w:before="60"/>
        <w:jc w:val="both"/>
      </w:pPr>
      <w:r>
        <w:rPr>
          <w:rFonts w:ascii="Arial" w:cs="Arial" w:eastAsia="Arial" w:hAnsi="Arial"/>
          <w:sz w:val="22"/>
          <w:szCs w:val="22"/>
        </w:rPr>
        <w:t xml:space="preserve">Because the Downtown Partnership operates the website on behalf of the BID and DDA under a management contract, the BID and DDA's Title II obligations flow through to the Partnership's work. The Partnership cannot escape WCAG 2.1 AA requirements for content it manages on behalf of quasi-governmental entities. This is not optional and it is not a grace period — the deadline is April 24, 2026.</w:t>
      </w:r>
    </w:p>
    <w:p>
      <w:pPr>
        <w:pStyle w:val="Heading3"/>
        <w:spacing w:after="80" w:before="200"/>
      </w:pPr>
      <w:r>
        <w:rPr>
          <w:rFonts w:ascii="Arial" w:cs="Arial" w:eastAsia="Arial" w:hAnsi="Arial"/>
          <w:b/>
          <w:bCs/>
          <w:color w:val="4A6100"/>
          <w:sz w:val="22"/>
          <w:szCs w:val="22"/>
        </w:rPr>
        <w:t xml:space="preserve">HB21-1110 — Colorado State PDF Accessibility Law</w:t>
      </w:r>
    </w:p>
    <w:p>
      <w:pPr>
        <w:spacing w:after="100" w:before="60"/>
        <w:jc w:val="both"/>
      </w:pPr>
      <w:r>
        <w:rPr>
          <w:rFonts w:ascii="Arial" w:cs="Arial" w:eastAsia="Arial" w:hAnsi="Arial"/>
          <w:sz w:val="22"/>
          <w:szCs w:val="22"/>
        </w:rPr>
        <w:t xml:space="preserve">Colorado House Bill 21-1110 requires that public entities post accessible PDFs on their websites. Every meeting minute, every agenda, every financial document posted on the BID and DDA web presence must be tagged PDF — meaning it must have structural tags that allow screen readers to navigate the content. Based on the audit conducted as part of this project, zero currently posted PDFs meet this standard.</w:t>
      </w:r>
    </w:p>
    <w:p>
      <w:pPr>
        <w:pStyle w:val="Heading2"/>
        <w:spacing w:after="120" w:before="280"/>
      </w:pPr>
      <w:r>
        <w:rPr>
          <w:rFonts w:ascii="Arial" w:cs="Arial" w:eastAsia="Arial" w:hAnsi="Arial"/>
          <w:b/>
          <w:bCs/>
          <w:color w:val="213B5D"/>
          <w:sz w:val="26"/>
          <w:szCs w:val="26"/>
        </w:rPr>
        <w:t xml:space="preserve">4C. IRS and Nonprofit Disclosure</w:t>
      </w:r>
    </w:p>
    <w:p>
      <w:pPr>
        <w:spacing w:after="100" w:before="60"/>
        <w:jc w:val="both"/>
      </w:pPr>
      <w:r>
        <w:rPr>
          <w:rFonts w:ascii="Arial" w:cs="Arial" w:eastAsia="Arial" w:hAnsi="Arial"/>
          <w:sz w:val="22"/>
          <w:szCs w:val="22"/>
        </w:rPr>
        <w:t xml:space="preserve">The Downtown Partnership, as a 501(c)(4) organization, is required by federal law to make its IRS Form 990 available upon request. The 990 discloses executive compensation, total revenue, major expenses, and organizational structure. The Downtown Partnership does not link its Form 990 anywhere on its website. While the 990 is technically obtainable through ProPublica's Nonprofit Explorer, the organization has an affirmative obligation to provide it upon request within 30 days, and failure to do so can result in IRS penalties of $20 per day up to $10,000 per return.</w:t>
      </w:r>
    </w:p>
    <w:p>
      <w:pPr>
        <w:pStyle w:val="Heading2"/>
        <w:spacing w:after="120" w:before="280"/>
      </w:pPr>
      <w:r>
        <w:rPr>
          <w:rFonts w:ascii="Arial" w:cs="Arial" w:eastAsia="Arial" w:hAnsi="Arial"/>
          <w:b/>
          <w:bCs/>
          <w:color w:val="213B5D"/>
          <w:sz w:val="26"/>
          <w:szCs w:val="26"/>
        </w:rPr>
        <w:t xml:space="preserve">4D. What Needs to Happen — The Action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80"/>
        <w:gridCol w:w="3080"/>
      </w:tblGrid>
      <w:tr>
        <w:tc>
          <w:tcPr>
            <w:tcW w:type="dxa" w:w="4200"/>
            <w:tcBorders>
              <w:top w:val="single" w:color="CCCCCC" w:sz="1"/>
              <w:left w:val="single" w:color="CCCCCC" w:sz="1"/>
              <w:bottom w:val="single" w:color="CCCCCC" w:sz="1"/>
              <w:right w:val="single" w:color="CCCCCC" w:sz="1"/>
            </w:tcBorders>
            <w:shd w:fill="213B5D" w:val="clear"/>
            <w:tcMar>
              <w:top w:type="dxa" w:w="80"/>
              <w:left w:type="dxa" w:w="120"/>
              <w:bottom w:type="dxa" w:w="80"/>
              <w:right w:type="dxa" w:w="120"/>
            </w:tcMar>
          </w:tcPr>
          <w:p>
            <w:r>
              <w:rPr>
                <w:rFonts w:ascii="Arial" w:cs="Arial" w:eastAsia="Arial" w:hAnsi="Arial"/>
                <w:b/>
                <w:bCs/>
                <w:color w:val="FFFFFF"/>
                <w:sz w:val="20"/>
                <w:szCs w:val="20"/>
              </w:rPr>
              <w:t xml:space="preserve">Action Item</w:t>
            </w:r>
          </w:p>
        </w:tc>
        <w:tc>
          <w:tcPr>
            <w:tcW w:type="dxa" w:w="2080"/>
            <w:tcBorders>
              <w:top w:val="single" w:color="CCCCCC" w:sz="1"/>
              <w:left w:val="single" w:color="CCCCCC" w:sz="1"/>
              <w:bottom w:val="single" w:color="CCCCCC" w:sz="1"/>
              <w:right w:val="single" w:color="CCCCCC" w:sz="1"/>
            </w:tcBorders>
            <w:shd w:fill="213B5D" w:val="clear"/>
            <w:tcMar>
              <w:top w:type="dxa" w:w="80"/>
              <w:left w:type="dxa" w:w="120"/>
              <w:bottom w:type="dxa" w:w="80"/>
              <w:right w:type="dxa" w:w="120"/>
            </w:tcMar>
          </w:tcPr>
          <w:p>
            <w:r>
              <w:rPr>
                <w:rFonts w:ascii="Arial" w:cs="Arial" w:eastAsia="Arial" w:hAnsi="Arial"/>
                <w:b/>
                <w:bCs/>
                <w:color w:val="FFFFFF"/>
                <w:sz w:val="20"/>
                <w:szCs w:val="20"/>
              </w:rPr>
              <w:t xml:space="preserve">Responsible</w:t>
            </w:r>
          </w:p>
        </w:tc>
        <w:tc>
          <w:tcPr>
            <w:tcW w:type="dxa" w:w="3080"/>
            <w:tcBorders>
              <w:top w:val="single" w:color="CCCCCC" w:sz="1"/>
              <w:left w:val="single" w:color="CCCCCC" w:sz="1"/>
              <w:bottom w:val="single" w:color="CCCCCC" w:sz="1"/>
              <w:right w:val="single" w:color="CCCCCC" w:sz="1"/>
            </w:tcBorders>
            <w:shd w:fill="213B5D" w:val="clear"/>
            <w:tcMar>
              <w:top w:type="dxa" w:w="80"/>
              <w:left w:type="dxa" w:w="120"/>
              <w:bottom w:type="dxa" w:w="80"/>
              <w:right w:type="dxa" w:w="120"/>
            </w:tcMar>
          </w:tcPr>
          <w:p>
            <w:r>
              <w:rPr>
                <w:rFonts w:ascii="Arial" w:cs="Arial" w:eastAsia="Arial" w:hAnsi="Arial"/>
                <w:b/>
                <w:bCs/>
                <w:color w:val="FFFFFF"/>
                <w:sz w:val="20"/>
                <w:szCs w:val="20"/>
              </w:rPr>
              <w:t xml:space="preserve">Authority / Statute</w:t>
            </w:r>
          </w:p>
        </w:tc>
      </w:tr>
      <w:tr>
        <w:tc>
          <w:tcPr>
            <w:tcW w:type="dxa" w:w="4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20"/>
                <w:szCs w:val="20"/>
              </w:rPr>
              <w:t xml:space="preserve">Post all annual audited financial statements on website (BID and DDA)</w:t>
            </w:r>
          </w:p>
        </w:tc>
        <w:tc>
          <w:tcPr>
            <w:tcW w:type="dxa" w:w="208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20"/>
                <w:szCs w:val="20"/>
              </w:rPr>
              <w:t xml:space="preserve">BID / DDA Boards</w:t>
            </w:r>
          </w:p>
        </w:tc>
        <w:tc>
          <w:tcPr>
            <w:tcW w:type="dxa" w:w="308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20"/>
                <w:szCs w:val="20"/>
              </w:rPr>
              <w:t xml:space="preserve">C.R.S. 29-1-606 / C.R.S. 32-1-207</w:t>
            </w:r>
          </w:p>
        </w:tc>
      </w:tr>
      <w:tr>
        <w:tc>
          <w:tcPr>
            <w:tcW w:type="dxa" w:w="4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20"/>
                <w:szCs w:val="20"/>
              </w:rPr>
              <w:t xml:space="preserve">Post adopted annual budgets on website</w:t>
            </w:r>
          </w:p>
        </w:tc>
        <w:tc>
          <w:tcPr>
            <w:tcW w:type="dxa" w:w="208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20"/>
                <w:szCs w:val="20"/>
              </w:rPr>
              <w:t xml:space="preserve">BID / DDA Boards</w:t>
            </w:r>
          </w:p>
        </w:tc>
        <w:tc>
          <w:tcPr>
            <w:tcW w:type="dxa" w:w="308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20"/>
                <w:szCs w:val="20"/>
              </w:rPr>
              <w:t xml:space="preserve">C.R.S. 29-1-101 et seq.</w:t>
            </w:r>
          </w:p>
        </w:tc>
      </w:tr>
      <w:tr>
        <w:tc>
          <w:tcPr>
            <w:tcW w:type="dxa" w:w="4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20"/>
                <w:szCs w:val="20"/>
              </w:rPr>
              <w:t xml:space="preserve">Publish all TIF reimbursement agreements — recipient, amount, parcel, terms</w:t>
            </w:r>
          </w:p>
        </w:tc>
        <w:tc>
          <w:tcPr>
            <w:tcW w:type="dxa" w:w="208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20"/>
                <w:szCs w:val="20"/>
              </w:rPr>
              <w:t xml:space="preserve">DDA Board</w:t>
            </w:r>
          </w:p>
        </w:tc>
        <w:tc>
          <w:tcPr>
            <w:tcW w:type="dxa" w:w="308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20"/>
                <w:szCs w:val="20"/>
              </w:rPr>
              <w:t xml:space="preserve">CORA / C.R.S. 24-72-201</w:t>
            </w:r>
          </w:p>
        </w:tc>
      </w:tr>
      <w:tr>
        <w:tc>
          <w:tcPr>
            <w:tcW w:type="dxa" w:w="4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20"/>
                <w:szCs w:val="20"/>
              </w:rPr>
              <w:t xml:space="preserve">Publish all grant awards — type, recipient, amount, address</w:t>
            </w:r>
          </w:p>
        </w:tc>
        <w:tc>
          <w:tcPr>
            <w:tcW w:type="dxa" w:w="208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20"/>
                <w:szCs w:val="20"/>
              </w:rPr>
              <w:t xml:space="preserve">DDA Board</w:t>
            </w:r>
          </w:p>
        </w:tc>
        <w:tc>
          <w:tcPr>
            <w:tcW w:type="dxa" w:w="308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20"/>
                <w:szCs w:val="20"/>
              </w:rPr>
              <w:t xml:space="preserve">CORA / public interest</w:t>
            </w:r>
          </w:p>
        </w:tc>
      </w:tr>
      <w:tr>
        <w:tc>
          <w:tcPr>
            <w:tcW w:type="dxa" w:w="42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rFonts w:ascii="Arial" w:cs="Arial" w:eastAsia="Arial" w:hAnsi="Arial"/>
                <w:sz w:val="20"/>
                <w:szCs w:val="20"/>
              </w:rPr>
              <w:t xml:space="preserve">Achieve WCAG 2.1 AA compliance on all web content by April 24, 2026</w:t>
            </w:r>
          </w:p>
        </w:tc>
        <w:tc>
          <w:tcPr>
            <w:tcW w:type="dxa" w:w="208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rFonts w:ascii="Arial" w:cs="Arial" w:eastAsia="Arial" w:hAnsi="Arial"/>
                <w:sz w:val="20"/>
                <w:szCs w:val="20"/>
              </w:rPr>
              <w:t xml:space="preserve">Downtown Partnership</w:t>
            </w:r>
          </w:p>
        </w:tc>
        <w:tc>
          <w:tcPr>
            <w:tcW w:type="dxa" w:w="308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rFonts w:ascii="Arial" w:cs="Arial" w:eastAsia="Arial" w:hAnsi="Arial"/>
                <w:sz w:val="20"/>
                <w:szCs w:val="20"/>
              </w:rPr>
              <w:t xml:space="preserve">ADA Title II / 28 CFR Part 35</w:t>
            </w:r>
          </w:p>
        </w:tc>
      </w:tr>
      <w:tr>
        <w:tc>
          <w:tcPr>
            <w:tcW w:type="dxa" w:w="42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rFonts w:ascii="Arial" w:cs="Arial" w:eastAsia="Arial" w:hAnsi="Arial"/>
                <w:sz w:val="20"/>
                <w:szCs w:val="20"/>
              </w:rPr>
              <w:t xml:space="preserve">Tag all posted PDFs (minutes, agendas, financials) for screen reader accessibility</w:t>
            </w:r>
          </w:p>
        </w:tc>
        <w:tc>
          <w:tcPr>
            <w:tcW w:type="dxa" w:w="208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rFonts w:ascii="Arial" w:cs="Arial" w:eastAsia="Arial" w:hAnsi="Arial"/>
                <w:sz w:val="20"/>
                <w:szCs w:val="20"/>
              </w:rPr>
              <w:t xml:space="preserve">Downtown Partnership</w:t>
            </w:r>
          </w:p>
        </w:tc>
        <w:tc>
          <w:tcPr>
            <w:tcW w:type="dxa" w:w="308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rFonts w:ascii="Arial" w:cs="Arial" w:eastAsia="Arial" w:hAnsi="Arial"/>
                <w:sz w:val="20"/>
                <w:szCs w:val="20"/>
              </w:rPr>
              <w:t xml:space="preserve">WCAG 1.3.1 / HB21-1110</w:t>
            </w:r>
          </w:p>
        </w:tc>
      </w:tr>
      <w:tr>
        <w:tc>
          <w:tcPr>
            <w:tcW w:type="dxa" w:w="42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rFonts w:ascii="Arial" w:cs="Arial" w:eastAsia="Arial" w:hAnsi="Arial"/>
                <w:sz w:val="20"/>
                <w:szCs w:val="20"/>
              </w:rPr>
              <w:t xml:space="preserve">Post IRS Form 990 for Downtown Partnership on website</w:t>
            </w:r>
          </w:p>
        </w:tc>
        <w:tc>
          <w:tcPr>
            <w:tcW w:type="dxa" w:w="208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rFonts w:ascii="Arial" w:cs="Arial" w:eastAsia="Arial" w:hAnsi="Arial"/>
                <w:sz w:val="20"/>
                <w:szCs w:val="20"/>
              </w:rPr>
              <w:t xml:space="preserve">Downtown Partnership</w:t>
            </w:r>
          </w:p>
        </w:tc>
        <w:tc>
          <w:tcPr>
            <w:tcW w:type="dxa" w:w="308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rFonts w:ascii="Arial" w:cs="Arial" w:eastAsia="Arial" w:hAnsi="Arial"/>
                <w:sz w:val="20"/>
                <w:szCs w:val="20"/>
              </w:rPr>
              <w:t xml:space="preserve">IRS / 26 U.S.C. 6104</w:t>
            </w:r>
          </w:p>
        </w:tc>
      </w:tr>
      <w:tr>
        <w:tc>
          <w:tcPr>
            <w:tcW w:type="dxa" w:w="4200"/>
            <w:tcBorders>
              <w:top w:val="single" w:color="CCCCCC" w:sz="1"/>
              <w:left w:val="single" w:color="CCCCCC" w:sz="1"/>
              <w:bottom w:val="single" w:color="CCCCCC" w:sz="1"/>
              <w:right w:val="single" w:color="CCCCCC" w:sz="1"/>
            </w:tcBorders>
            <w:shd w:fill="D8EDD8" w:val="clear"/>
            <w:tcMar>
              <w:top w:type="dxa" w:w="80"/>
              <w:left w:type="dxa" w:w="120"/>
              <w:bottom w:type="dxa" w:w="80"/>
              <w:right w:type="dxa" w:w="120"/>
            </w:tcMar>
          </w:tcPr>
          <w:p>
            <w:r>
              <w:rPr>
                <w:rFonts w:ascii="Arial" w:cs="Arial" w:eastAsia="Arial" w:hAnsi="Arial"/>
                <w:sz w:val="20"/>
                <w:szCs w:val="20"/>
              </w:rPr>
              <w:t xml:space="preserve">Create parcel-linked public record system connecting grants, permits, and assessments to addresses</w:t>
            </w:r>
          </w:p>
        </w:tc>
        <w:tc>
          <w:tcPr>
            <w:tcW w:type="dxa" w:w="2080"/>
            <w:tcBorders>
              <w:top w:val="single" w:color="CCCCCC" w:sz="1"/>
              <w:left w:val="single" w:color="CCCCCC" w:sz="1"/>
              <w:bottom w:val="single" w:color="CCCCCC" w:sz="1"/>
              <w:right w:val="single" w:color="CCCCCC" w:sz="1"/>
            </w:tcBorders>
            <w:shd w:fill="D8EDD8" w:val="clear"/>
            <w:tcMar>
              <w:top w:type="dxa" w:w="80"/>
              <w:left w:type="dxa" w:w="120"/>
              <w:bottom w:type="dxa" w:w="80"/>
              <w:right w:type="dxa" w:w="120"/>
            </w:tcMar>
          </w:tcPr>
          <w:p>
            <w:r>
              <w:rPr>
                <w:rFonts w:ascii="Arial" w:cs="Arial" w:eastAsia="Arial" w:hAnsi="Arial"/>
                <w:sz w:val="20"/>
                <w:szCs w:val="20"/>
              </w:rPr>
              <w:t xml:space="preserve">City / DDA / BID</w:t>
            </w:r>
          </w:p>
        </w:tc>
        <w:tc>
          <w:tcPr>
            <w:tcW w:type="dxa" w:w="3080"/>
            <w:tcBorders>
              <w:top w:val="single" w:color="CCCCCC" w:sz="1"/>
              <w:left w:val="single" w:color="CCCCCC" w:sz="1"/>
              <w:bottom w:val="single" w:color="CCCCCC" w:sz="1"/>
              <w:right w:val="single" w:color="CCCCCC" w:sz="1"/>
            </w:tcBorders>
            <w:shd w:fill="D8EDD8" w:val="clear"/>
            <w:tcMar>
              <w:top w:type="dxa" w:w="80"/>
              <w:left w:type="dxa" w:w="120"/>
              <w:bottom w:type="dxa" w:w="80"/>
              <w:right w:type="dxa" w:w="120"/>
            </w:tcMar>
          </w:tcPr>
          <w:p>
            <w:r>
              <w:rPr>
                <w:rFonts w:ascii="Arial" w:cs="Arial" w:eastAsia="Arial" w:hAnsi="Arial"/>
                <w:sz w:val="20"/>
                <w:szCs w:val="20"/>
              </w:rPr>
              <w:t xml:space="preserve">Best practice / public interest</w:t>
            </w:r>
          </w:p>
        </w:tc>
      </w:tr>
    </w:tbl>
    <w:p>
      <w:pPr>
        <w:spacing w:after="0" w:before="80"/>
      </w:pPr>
    </w:p>
    <w:p>
      <w:pPr>
        <w:spacing w:after="100" w:before="60"/>
        <w:jc w:val="both"/>
      </w:pPr>
      <w:r>
        <w:rPr>
          <w:rFonts w:ascii="Arial" w:cs="Arial" w:eastAsia="Arial" w:hAnsi="Arial"/>
          <w:sz w:val="22"/>
          <w:szCs w:val="22"/>
        </w:rPr>
        <w:t xml:space="preserve">RED = legally required, currently missing. YELLOW = federally mandated, deadline imminent or passed. GREEN = not legally required but urgently needed for public trust and equitable access to public resources.</w:t>
      </w:r>
    </w:p>
    <w:p>
      <w:pPr>
        <w:pBdr>
          <w:bottom w:val="single" w:color="CCCCCC" w:sz="4" w:space="1"/>
        </w:pBdr>
        <w:spacing w:after="160" w:before="160"/>
      </w:pPr>
    </w:p>
    <w:p>
      <w:pPr>
        <w:pStyle w:val="Heading1"/>
        <w:pBdr>
          <w:bottom w:val="single" w:color="4A6100" w:sz="8" w:space="4"/>
        </w:pBdr>
        <w:spacing w:after="160" w:before="360"/>
      </w:pPr>
      <w:r>
        <w:rPr>
          <w:rFonts w:ascii="Arial" w:cs="Arial" w:eastAsia="Arial" w:hAnsi="Arial"/>
          <w:b/>
          <w:bCs/>
          <w:color w:val="213B5D"/>
          <w:sz w:val="32"/>
          <w:szCs w:val="32"/>
        </w:rPr>
        <w:t xml:space="preserve">Section 5: cheetochopsticks.com — Free to Post, No Invoice Attached</w:t>
      </w:r>
    </w:p>
    <w:p>
      <w:pPr>
        <w:spacing w:after="100" w:before="60"/>
        <w:jc w:val="both"/>
      </w:pPr>
      <w:r>
        <w:rPr>
          <w:rFonts w:ascii="Arial" w:cs="Arial" w:eastAsia="Arial" w:hAnsi="Arial"/>
          <w:sz w:val="22"/>
          <w:szCs w:val="22"/>
        </w:rPr>
        <w:t xml:space="preserve">cheetochopsticks.com is a free civic data project built by two Colorado Springs residents — StorySeed Studios and The Dais — using public records, open-source tools, and a stated philosophy that people who live somewhere deserve to actually understand it. Everything on the site is free. There is no paywall, no login, no monetization strategy, and no pitch deck. The site's own tagline says it plainly: zero invoices attached.</w:t>
      </w:r>
    </w:p>
    <w:p>
      <w:pPr>
        <w:spacing w:after="100" w:before="60"/>
        <w:jc w:val="both"/>
      </w:pPr>
      <w:r>
        <w:rPr>
          <w:rFonts w:ascii="Arial" w:cs="Arial" w:eastAsia="Arial" w:hAnsi="Arial"/>
          <w:sz w:val="22"/>
          <w:szCs w:val="22"/>
        </w:rPr>
        <w:t xml:space="preserve">This matters directly to the work described in this report because The Dais is one of the two builders of cheetochopsticks.com — and The Dais is also the content engine described in the public-facing layer of the civic platform architecture this project is building. These are not separate efforts. They are complementary pieces of the same civic transparency stack.</w:t>
      </w:r>
    </w:p>
    <w:p>
      <w:pPr>
        <w:pStyle w:val="Heading2"/>
        <w:spacing w:after="120" w:before="280"/>
      </w:pPr>
      <w:r>
        <w:rPr>
          <w:rFonts w:ascii="Arial" w:cs="Arial" w:eastAsia="Arial" w:hAnsi="Arial"/>
          <w:b/>
          <w:bCs/>
          <w:color w:val="213B5D"/>
          <w:sz w:val="26"/>
          <w:szCs w:val="26"/>
        </w:rPr>
        <w:t xml:space="preserve">What cheetochopsticks.com Currently Publishes</w:t>
      </w:r>
    </w:p>
    <w:p>
      <w:pPr>
        <w:pStyle w:val="ListParagraph"/>
        <w:numPr>
          <w:ilvl w:val="0"/>
          <w:numId w:val="2"/>
        </w:numPr>
        <w:spacing w:after="40" w:before="40"/>
      </w:pPr>
      <w:r>
        <w:rPr>
          <w:rFonts w:ascii="Arial" w:cs="Arial" w:eastAsia="Arial" w:hAnsi="Arial"/>
          <w:sz w:val="22"/>
          <w:szCs w:val="22"/>
        </w:rPr>
        <w:t xml:space="preserve">El Paso County jurisdiction finder — type an address, get every government entity that touches it: city limits, county district, school district, metro districts, utilities. Free, no login required.</w:t>
      </w:r>
    </w:p>
    <w:p>
      <w:pPr>
        <w:pStyle w:val="ListParagraph"/>
        <w:numPr>
          <w:ilvl w:val="0"/>
          <w:numId w:val="2"/>
        </w:numPr>
        <w:spacing w:after="40" w:before="40"/>
      </w:pPr>
      <w:r>
        <w:rPr>
          <w:rFonts w:ascii="Arial" w:cs="Arial" w:eastAsia="Arial" w:hAnsi="Arial"/>
          <w:sz w:val="22"/>
          <w:szCs w:val="22"/>
        </w:rPr>
        <w:t xml:space="preserve">EPC Metro District Audit Dashboard — governance gaps, ADA compliance status, and platform analysis across all 284 El Paso County metro districts. 88% have zero public web presence. 0% post service plans. 0% post annual reports.</w:t>
      </w:r>
    </w:p>
    <w:p>
      <w:pPr>
        <w:pStyle w:val="ListParagraph"/>
        <w:numPr>
          <w:ilvl w:val="0"/>
          <w:numId w:val="2"/>
        </w:numPr>
        <w:spacing w:after="40" w:before="40"/>
      </w:pPr>
      <w:r>
        <w:rPr>
          <w:rFonts w:ascii="Arial" w:cs="Arial" w:eastAsia="Arial" w:hAnsi="Arial"/>
          <w:sz w:val="22"/>
          <w:szCs w:val="22"/>
        </w:rPr>
        <w:t xml:space="preserve">El Paso County Mortality Dashboard — death data compared to Colorado and US averages with dedicated analysis of Fort Carson and military installation effects on mortality statistics.</w:t>
      </w:r>
    </w:p>
    <w:p>
      <w:pPr>
        <w:pStyle w:val="ListParagraph"/>
        <w:numPr>
          <w:ilvl w:val="0"/>
          <w:numId w:val="2"/>
        </w:numPr>
        <w:spacing w:after="40" w:before="40"/>
      </w:pPr>
      <w:r>
        <w:rPr>
          <w:rFonts w:ascii="Arial" w:cs="Arial" w:eastAsia="Arial" w:hAnsi="Arial"/>
          <w:sz w:val="22"/>
          <w:szCs w:val="22"/>
        </w:rPr>
        <w:t xml:space="preserve">Metro District Citizen Toolkit — sample CORA request letters, Board of County Commissioners letter templates, DOJ complaint drafts, and every contact needed to push for change. Open-sourced.</w:t>
      </w:r>
    </w:p>
    <w:p>
      <w:pPr>
        <w:pStyle w:val="ListParagraph"/>
        <w:numPr>
          <w:ilvl w:val="0"/>
          <w:numId w:val="2"/>
        </w:numPr>
        <w:spacing w:after="40" w:before="40"/>
      </w:pPr>
      <w:r>
        <w:rPr>
          <w:rFonts w:ascii="Arial" w:cs="Arial" w:eastAsia="Arial" w:hAnsi="Arial"/>
          <w:sz w:val="22"/>
          <w:szCs w:val="22"/>
        </w:rPr>
        <w:t xml:space="preserve">CORA Requests Tracker — live tracker for all open records requests: who was asked, what was asked, what came back. Military housing figures cross-referenced with public and survey data.</w:t>
      </w:r>
    </w:p>
    <w:p>
      <w:pPr>
        <w:pStyle w:val="ListParagraph"/>
        <w:numPr>
          <w:ilvl w:val="0"/>
          <w:numId w:val="2"/>
        </w:numPr>
        <w:spacing w:after="40" w:before="40"/>
      </w:pPr>
      <w:r>
        <w:rPr>
          <w:rFonts w:ascii="Arial" w:cs="Arial" w:eastAsia="Arial" w:hAnsi="Arial"/>
          <w:sz w:val="22"/>
          <w:szCs w:val="22"/>
        </w:rPr>
        <w:t xml:space="preserve">District website audit dashboard — governance documents, ADA checks, platform breakdown. Eight sites fully audited, covering 51 districts. Nine compliance gaps identified.</w:t>
      </w:r>
    </w:p>
    <w:p>
      <w:pPr>
        <w:pStyle w:val="ListParagraph"/>
        <w:numPr>
          <w:ilvl w:val="0"/>
          <w:numId w:val="2"/>
        </w:numPr>
        <w:spacing w:after="40" w:before="40"/>
      </w:pPr>
      <w:r>
        <w:rPr>
          <w:rFonts w:ascii="Arial" w:cs="Arial" w:eastAsia="Arial" w:hAnsi="Arial"/>
          <w:sz w:val="22"/>
          <w:szCs w:val="22"/>
        </w:rPr>
        <w:t xml:space="preserve">COS Traffic Safety and Funding Dashboard — 64,434 crash records, 12 charts, FHWA funding analysis.</w:t>
      </w:r>
    </w:p>
    <w:p>
      <w:pPr>
        <w:pStyle w:val="ListParagraph"/>
        <w:numPr>
          <w:ilvl w:val="0"/>
          <w:numId w:val="2"/>
        </w:numPr>
        <w:spacing w:after="40" w:before="40"/>
      </w:pPr>
      <w:r>
        <w:rPr>
          <w:rFonts w:ascii="Arial" w:cs="Arial" w:eastAsia="Arial" w:hAnsi="Arial"/>
          <w:sz w:val="22"/>
          <w:szCs w:val="22"/>
        </w:rPr>
        <w:t xml:space="preserve">Wolfersberger Compliance and Bellamese Analysis — developer agreement compliance history and parcel-level findings assembled from months of public records requests.</w:t>
      </w:r>
    </w:p>
    <w:p>
      <w:pPr>
        <w:pStyle w:val="Heading2"/>
        <w:spacing w:after="120" w:before="280"/>
      </w:pPr>
      <w:r>
        <w:rPr>
          <w:rFonts w:ascii="Arial" w:cs="Arial" w:eastAsia="Arial" w:hAnsi="Arial"/>
          <w:b/>
          <w:bCs/>
          <w:color w:val="213B5D"/>
          <w:sz w:val="26"/>
          <w:szCs w:val="26"/>
        </w:rPr>
        <w:t xml:space="preserve">The ADA Deadline Context</w:t>
      </w:r>
    </w:p>
    <w:p>
      <w:pPr>
        <w:spacing w:after="100" w:before="60"/>
        <w:jc w:val="both"/>
      </w:pPr>
      <w:r>
        <w:rPr>
          <w:rFonts w:ascii="Arial" w:cs="Arial" w:eastAsia="Arial" w:hAnsi="Arial"/>
          <w:sz w:val="22"/>
          <w:szCs w:val="22"/>
        </w:rPr>
        <w:t xml:space="preserve">The site explicitly tracks the April 24, 2026 ADA Title II compliance deadline — the date by which all local government websites in jurisdictions of 50,000 or more must meet WCAG 2.1 Level AA. As of April 10, 2026, that deadline is 14 days away. cheetochopsticks.com reports that zero of the eight districts it has fully audited post accessible, tagged PDFs. The site notes that HB21-1110 applies to PDF documents — and the PDF accessibility gap is the most critical and most universal failure across all audited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8EDD8" w:val="clear"/>
            <w:tcMar>
              <w:top w:type="dxa" w:w="120"/>
              <w:left w:type="dxa" w:w="180"/>
              <w:bottom w:type="dxa" w:w="120"/>
              <w:right w:type="dxa" w:w="180"/>
            </w:tcMar>
          </w:tcPr>
          <w:p>
            <w:pPr>
              <w:spacing w:after="0" w:before="0"/>
            </w:pPr>
            <w:r>
              <w:rPr>
                <w:rFonts w:ascii="Arial" w:cs="Arial" w:eastAsia="Arial" w:hAnsi="Arial"/>
                <w:i/>
                <w:iCs/>
                <w:sz w:val="20"/>
                <w:szCs w:val="20"/>
              </w:rPr>
              <w:t xml:space="preserve">THE DIRECT RELEVANCE: Every violation identified in Section 4 of this report — missing audits, missing budgets, inaccessible PDFs, absent TIF records — is exactly the kind of civic data that cheetochopsticks.com is designed to surface, publish, and make actionable. The Downtown Partnership, BID, and DDA are not currently in this site's coverage area, but the methodology, tools, and infrastructure already exist to extend it there. No charge. No invoice.</w:t>
            </w:r>
          </w:p>
        </w:tc>
      </w:tr>
    </w:tbl>
    <w:p>
      <w:pPr>
        <w:pStyle w:val="Heading2"/>
        <w:spacing w:after="120" w:before="280"/>
      </w:pPr>
      <w:r>
        <w:rPr>
          <w:rFonts w:ascii="Arial" w:cs="Arial" w:eastAsia="Arial" w:hAnsi="Arial"/>
          <w:b/>
          <w:bCs/>
          <w:color w:val="213B5D"/>
          <w:sz w:val="26"/>
          <w:szCs w:val="26"/>
        </w:rPr>
        <w:t xml:space="preserve">How to Post Information on cheetochopsticks.com</w:t>
      </w:r>
    </w:p>
    <w:p>
      <w:pPr>
        <w:spacing w:after="100" w:before="60"/>
        <w:jc w:val="both"/>
      </w:pPr>
      <w:r>
        <w:rPr>
          <w:rFonts w:ascii="Arial" w:cs="Arial" w:eastAsia="Arial" w:hAnsi="Arial"/>
          <w:sz w:val="22"/>
          <w:szCs w:val="22"/>
        </w:rPr>
        <w:t xml:space="preserve">Because cheetochopsticks.com is built by The Dais — one of the co-authors of the civic platform described in this project — the path to publishing is direct. The site operates as a public-interest journalism and data project, not a commercial platform. Information posted there includes:</w:t>
      </w:r>
    </w:p>
    <w:p>
      <w:pPr>
        <w:pStyle w:val="ListParagraph"/>
        <w:numPr>
          <w:ilvl w:val="0"/>
          <w:numId w:val="2"/>
        </w:numPr>
        <w:spacing w:after="40" w:before="40"/>
      </w:pPr>
      <w:r>
        <w:rPr>
          <w:rFonts w:ascii="Arial" w:cs="Arial" w:eastAsia="Arial" w:hAnsi="Arial"/>
          <w:sz w:val="22"/>
          <w:szCs w:val="22"/>
        </w:rPr>
        <w:t xml:space="preserve">CORA request filings and their responses — including for BID and DDA budget and audit records</w:t>
      </w:r>
    </w:p>
    <w:p>
      <w:pPr>
        <w:pStyle w:val="ListParagraph"/>
        <w:numPr>
          <w:ilvl w:val="0"/>
          <w:numId w:val="2"/>
        </w:numPr>
        <w:spacing w:after="40" w:before="40"/>
      </w:pPr>
      <w:r>
        <w:rPr>
          <w:rFonts w:ascii="Arial" w:cs="Arial" w:eastAsia="Arial" w:hAnsi="Arial"/>
          <w:sz w:val="22"/>
          <w:szCs w:val="22"/>
        </w:rPr>
        <w:t xml:space="preserve">Parcel-linked grant records as they are obtained through public records requests</w:t>
      </w:r>
    </w:p>
    <w:p>
      <w:pPr>
        <w:pStyle w:val="ListParagraph"/>
        <w:numPr>
          <w:ilvl w:val="0"/>
          <w:numId w:val="2"/>
        </w:numPr>
        <w:spacing w:after="40" w:before="40"/>
      </w:pPr>
      <w:r>
        <w:rPr>
          <w:rFonts w:ascii="Arial" w:cs="Arial" w:eastAsia="Arial" w:hAnsi="Arial"/>
          <w:sz w:val="22"/>
          <w:szCs w:val="22"/>
        </w:rPr>
        <w:t xml:space="preserve">ADA compliance audit findings for the BID and DDA web presence</w:t>
      </w:r>
    </w:p>
    <w:p>
      <w:pPr>
        <w:pStyle w:val="ListParagraph"/>
        <w:numPr>
          <w:ilvl w:val="0"/>
          <w:numId w:val="2"/>
        </w:numPr>
        <w:spacing w:after="40" w:before="40"/>
      </w:pPr>
      <w:r>
        <w:rPr>
          <w:rFonts w:ascii="Arial" w:cs="Arial" w:eastAsia="Arial" w:hAnsi="Arial"/>
          <w:sz w:val="22"/>
          <w:szCs w:val="22"/>
        </w:rPr>
        <w:t xml:space="preserve">Plain-language summaries of board meeting minutes</w:t>
      </w:r>
    </w:p>
    <w:p>
      <w:pPr>
        <w:pStyle w:val="ListParagraph"/>
        <w:numPr>
          <w:ilvl w:val="0"/>
          <w:numId w:val="2"/>
        </w:numPr>
        <w:spacing w:after="40" w:before="40"/>
      </w:pPr>
      <w:r>
        <w:rPr>
          <w:rFonts w:ascii="Arial" w:cs="Arial" w:eastAsia="Arial" w:hAnsi="Arial"/>
          <w:sz w:val="22"/>
          <w:szCs w:val="22"/>
        </w:rPr>
        <w:t xml:space="preserve">Any public record that is legally available but not published by the entity itself</w:t>
      </w:r>
    </w:p>
    <w:p>
      <w:pPr>
        <w:spacing w:after="100" w:before="60"/>
        <w:jc w:val="both"/>
      </w:pPr>
      <w:r>
        <w:rPr>
          <w:rFonts w:ascii="Arial" w:cs="Arial" w:eastAsia="Arial" w:hAnsi="Arial"/>
          <w:sz w:val="22"/>
          <w:szCs w:val="22"/>
        </w:rPr>
        <w:t xml:space="preserve">The process: obtain the record through a CORA request or from a public source, write it up in plain language so a resident can read it without a law degree, and publish it. The Dais and StorySeed Studios handle the editorial and technical infrastructure. The cost to the community is zero.</w:t>
      </w:r>
    </w:p>
    <w:p>
      <w:pPr>
        <w:pStyle w:val="Heading2"/>
        <w:spacing w:after="120" w:before="280"/>
      </w:pPr>
      <w:r>
        <w:rPr>
          <w:rFonts w:ascii="Arial" w:cs="Arial" w:eastAsia="Arial" w:hAnsi="Arial"/>
          <w:b/>
          <w:bCs/>
          <w:color w:val="213B5D"/>
          <w:sz w:val="26"/>
          <w:szCs w:val="26"/>
        </w:rPr>
        <w:t xml:space="preserve">What cheetochopsticks.com Plans to Add</w:t>
      </w:r>
    </w:p>
    <w:p>
      <w:pPr>
        <w:pStyle w:val="ListParagraph"/>
        <w:numPr>
          <w:ilvl w:val="0"/>
          <w:numId w:val="2"/>
        </w:numPr>
        <w:spacing w:after="40" w:before="40"/>
      </w:pPr>
      <w:r>
        <w:rPr>
          <w:rFonts w:ascii="Arial" w:cs="Arial" w:eastAsia="Arial" w:hAnsi="Arial"/>
          <w:sz w:val="22"/>
          <w:szCs w:val="22"/>
        </w:rPr>
        <w:t xml:space="preserve">Metro District Portal — a unified public interface for the 249 districts with zero website presence. CORA should not be the only way to find out who governs you.</w:t>
      </w:r>
    </w:p>
    <w:p>
      <w:pPr>
        <w:pStyle w:val="ListParagraph"/>
        <w:numPr>
          <w:ilvl w:val="0"/>
          <w:numId w:val="2"/>
        </w:numPr>
        <w:spacing w:after="40" w:before="40"/>
      </w:pPr>
      <w:r>
        <w:rPr>
          <w:rFonts w:ascii="Arial" w:cs="Arial" w:eastAsia="Arial" w:hAnsi="Arial"/>
          <w:sz w:val="22"/>
          <w:szCs w:val="22"/>
        </w:rPr>
        <w:t xml:space="preserve">Bond and Debt Tracker — outstanding balances, maturity dates, resident liability across all districts. The information that outlasts administrations.</w:t>
      </w:r>
    </w:p>
    <w:p>
      <w:pPr>
        <w:pStyle w:val="ListParagraph"/>
        <w:numPr>
          <w:ilvl w:val="0"/>
          <w:numId w:val="2"/>
        </w:numPr>
        <w:spacing w:after="40" w:before="40"/>
      </w:pPr>
      <w:r>
        <w:rPr>
          <w:rFonts w:ascii="Arial" w:cs="Arial" w:eastAsia="Arial" w:hAnsi="Arial"/>
          <w:sz w:val="22"/>
          <w:szCs w:val="22"/>
        </w:rPr>
        <w:t xml:space="preserve">Mill Levy Explainer — every property tax bill includes mill levies from multiple districts. No district explains what the levy is or why it exists. This will.</w:t>
      </w:r>
    </w:p>
    <w:p>
      <w:pPr>
        <w:pStyle w:val="ListParagraph"/>
        <w:numPr>
          <w:ilvl w:val="0"/>
          <w:numId w:val="2"/>
        </w:numPr>
        <w:spacing w:after="40" w:before="40"/>
      </w:pPr>
      <w:r>
        <w:rPr>
          <w:rFonts w:ascii="Arial" w:cs="Arial" w:eastAsia="Arial" w:hAnsi="Arial"/>
          <w:sz w:val="22"/>
          <w:szCs w:val="22"/>
        </w:rPr>
        <w:t xml:space="preserve">Stories — long-form analysis when the data says something nobody is saying out loud.</w:t>
      </w:r>
    </w:p>
    <w:p>
      <w:pPr>
        <w:pStyle w:val="ListParagraph"/>
        <w:numPr>
          <w:ilvl w:val="0"/>
          <w:numId w:val="2"/>
        </w:numPr>
        <w:spacing w:after="40" w:before="40"/>
      </w:pPr>
      <w:r>
        <w:rPr>
          <w:rFonts w:ascii="Arial" w:cs="Arial" w:eastAsia="Arial" w:hAnsi="Arial"/>
          <w:sz w:val="22"/>
          <w:szCs w:val="22"/>
        </w:rPr>
        <w:t xml:space="preserve">State Dashboard — CDOT data across all 64 Colorado counties.</w:t>
      </w:r>
    </w:p>
    <w:p>
      <w:pPr>
        <w:pBdr>
          <w:bottom w:val="single" w:color="CCCCCC" w:sz="4" w:space="1"/>
        </w:pBdr>
        <w:spacing w:after="160" w:before="160"/>
      </w:pPr>
    </w:p>
    <w:p>
      <w:pPr>
        <w:pStyle w:val="Heading1"/>
        <w:pBdr>
          <w:bottom w:val="single" w:color="4A6100" w:sz="8" w:space="4"/>
        </w:pBdr>
        <w:spacing w:after="160" w:before="360"/>
      </w:pPr>
      <w:r>
        <w:rPr>
          <w:rFonts w:ascii="Arial" w:cs="Arial" w:eastAsia="Arial" w:hAnsi="Arial"/>
          <w:b/>
          <w:bCs/>
          <w:color w:val="213B5D"/>
          <w:sz w:val="32"/>
          <w:szCs w:val="32"/>
        </w:rPr>
        <w:t xml:space="preserve">Conclusion: The Platform This Report Points Toward</w:t>
      </w:r>
    </w:p>
    <w:p>
      <w:pPr>
        <w:spacing w:after="100" w:before="60"/>
        <w:jc w:val="both"/>
      </w:pPr>
      <w:r>
        <w:rPr>
          <w:rFonts w:ascii="Arial" w:cs="Arial" w:eastAsia="Arial" w:hAnsi="Arial"/>
          <w:sz w:val="22"/>
          <w:szCs w:val="22"/>
        </w:rPr>
        <w:t xml:space="preserve">What this report has documented across five sections is not an accident. It is the predictable outcome of a governance structure — three separate legal entities, one shared staff, one website — that was never designed for transparency at scale. The BID was designed to collect and spend money on district services. The DDA was designed to incentivize development through targeted financial tools. The Downtown Partnership was designed to market and advocate. None of them was designed to be a searchable public record of what happened, where, with whose money.</w:t>
      </w:r>
    </w:p>
    <w:p>
      <w:pPr>
        <w:spacing w:after="100" w:before="60"/>
        <w:jc w:val="both"/>
      </w:pPr>
      <w:r>
        <w:rPr>
          <w:rFonts w:ascii="Arial" w:cs="Arial" w:eastAsia="Arial" w:hAnsi="Arial"/>
          <w:sz w:val="22"/>
          <w:szCs w:val="22"/>
        </w:rPr>
        <w:t xml:space="preserve">The platform described at the beginning of this project — a civic Jira where every ticket lives on a parcel, every document stays as a PDF but becomes searchable text, and every citizen can see the progression of anything that affects their address — is not a luxury. It is what basic accountability looks like in 2026. The data exists. The legal requirements mandate its disclosure. The tools to publish it cost nothing. The only missing piece is the will to build the system and the political commitment to keep it current.</w:t>
      </w:r>
    </w:p>
    <w:p>
      <w:pPr>
        <w:spacing w:after="100" w:before="60"/>
        <w:jc w:val="both"/>
      </w:pPr>
      <w:r>
        <w:rPr>
          <w:rFonts w:ascii="Arial" w:cs="Arial" w:eastAsia="Arial" w:hAnsi="Arial"/>
          <w:sz w:val="22"/>
          <w:szCs w:val="22"/>
        </w:rPr>
        <w:t xml:space="preserve">Downtown Colorado Springs is in the middle of a $2.66 billion transformation. The businesses on Tejon Street, the residents in the new multifamily buildings, the tourists arriving at a revitalized airport, the property owners paying mill levies to entities they cannot look up — they all deserve to know what is happening with public money in their district. The Elevate Downtown Plan, if adopted in May 2026, will set goals for the next decade. Those goals should include, at minimum, a public record system that any resident can use without a lawyer.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8EDD8" w:val="clear"/>
            <w:tcMar>
              <w:top w:type="dxa" w:w="120"/>
              <w:left w:type="dxa" w:w="180"/>
              <w:bottom w:type="dxa" w:w="120"/>
              <w:right w:type="dxa" w:w="180"/>
            </w:tcMar>
          </w:tcPr>
          <w:p>
            <w:pPr>
              <w:spacing w:after="0" w:before="0"/>
            </w:pPr>
            <w:r>
              <w:rPr>
                <w:rFonts w:ascii="Arial" w:cs="Arial" w:eastAsia="Arial" w:hAnsi="Arial"/>
                <w:i/>
                <w:iCs/>
                <w:sz w:val="20"/>
                <w:szCs w:val="20"/>
              </w:rPr>
              <w:t xml:space="preserve">This report is free to share, reproduce, and post. It was built from public records and is in the public interest. If you want to post it on cheetochopsticks.com or any other free civic platform: go ahead. No invoice attached.</w:t>
            </w:r>
          </w:p>
        </w:tc>
      </w:tr>
    </w:tbl>
    <w:p>
      <w:pPr>
        <w:spacing w:after="0" w:before="240"/>
      </w:pPr>
    </w:p>
    <w:p>
      <w:pPr>
        <w:spacing w:after="40" w:before="60"/>
      </w:pPr>
      <w:r>
        <w:rPr>
          <w:rFonts w:ascii="Arial" w:cs="Arial" w:eastAsia="Arial" w:hAnsi="Arial"/>
          <w:b/>
          <w:bCs/>
          <w:sz w:val="20"/>
          <w:szCs w:val="20"/>
        </w:rPr>
        <w:t xml:space="preserve">Contact for questions or corrections:</w:t>
      </w:r>
    </w:p>
    <w:p>
      <w:pPr>
        <w:pStyle w:val="ListParagraph"/>
        <w:numPr>
          <w:ilvl w:val="0"/>
          <w:numId w:val="2"/>
        </w:numPr>
        <w:spacing w:after="40" w:before="40"/>
      </w:pPr>
      <w:r>
        <w:rPr>
          <w:rFonts w:ascii="Arial" w:cs="Arial" w:eastAsia="Arial" w:hAnsi="Arial"/>
          <w:sz w:val="22"/>
          <w:szCs w:val="22"/>
        </w:rPr>
        <w:t xml:space="preserve">Downtown Partnership of Colorado Springs: 719-886-0088 | downtowncs.com</w:t>
      </w:r>
    </w:p>
    <w:p>
      <w:pPr>
        <w:pStyle w:val="ListParagraph"/>
        <w:numPr>
          <w:ilvl w:val="0"/>
          <w:numId w:val="2"/>
        </w:numPr>
        <w:spacing w:after="40" w:before="40"/>
      </w:pPr>
      <w:r>
        <w:rPr>
          <w:rFonts w:ascii="Arial" w:cs="Arial" w:eastAsia="Arial" w:hAnsi="Arial"/>
          <w:sz w:val="22"/>
          <w:szCs w:val="22"/>
        </w:rPr>
        <w:t xml:space="preserve">Colorado Division of Local Government: dola_dlg_helpdesk@state.co.us | 303-864-7720</w:t>
      </w:r>
    </w:p>
    <w:p>
      <w:pPr>
        <w:pStyle w:val="ListParagraph"/>
        <w:numPr>
          <w:ilvl w:val="0"/>
          <w:numId w:val="2"/>
        </w:numPr>
        <w:spacing w:after="40" w:before="40"/>
      </w:pPr>
      <w:r>
        <w:rPr>
          <w:rFonts w:ascii="Arial" w:cs="Arial" w:eastAsia="Arial" w:hAnsi="Arial"/>
          <w:sz w:val="22"/>
          <w:szCs w:val="22"/>
        </w:rPr>
        <w:t xml:space="preserve">Colorado State Auditor Local Government Division: osa.lg@coleg.gov | 303-869-3000</w:t>
      </w:r>
    </w:p>
    <w:p>
      <w:pPr>
        <w:pStyle w:val="ListParagraph"/>
        <w:numPr>
          <w:ilvl w:val="0"/>
          <w:numId w:val="2"/>
        </w:numPr>
        <w:spacing w:after="40" w:before="40"/>
      </w:pPr>
      <w:r>
        <w:rPr>
          <w:rFonts w:ascii="Arial" w:cs="Arial" w:eastAsia="Arial" w:hAnsi="Arial"/>
          <w:sz w:val="22"/>
          <w:szCs w:val="22"/>
        </w:rPr>
        <w:t xml:space="preserve">Colorado Springs City Council: coloradosprings.gov/city-council</w:t>
      </w:r>
    </w:p>
    <w:p>
      <w:pPr>
        <w:pStyle w:val="ListParagraph"/>
        <w:numPr>
          <w:ilvl w:val="0"/>
          <w:numId w:val="2"/>
        </w:numPr>
        <w:spacing w:after="40" w:before="40"/>
      </w:pPr>
      <w:r>
        <w:rPr>
          <w:rFonts w:ascii="Arial" w:cs="Arial" w:eastAsia="Arial" w:hAnsi="Arial"/>
          <w:sz w:val="22"/>
          <w:szCs w:val="22"/>
        </w:rPr>
        <w:t xml:space="preserve">cheetochopsticks.com: free civic data, El Paso County | built by StorySeed Studios and The Dais</w:t>
      </w:r>
    </w:p>
    <w:p>
      <w:pPr>
        <w:pStyle w:val="ListParagraph"/>
        <w:numPr>
          <w:ilvl w:val="0"/>
          <w:numId w:val="2"/>
        </w:numPr>
        <w:spacing w:after="40" w:before="40"/>
      </w:pPr>
      <w:r>
        <w:rPr>
          <w:rFonts w:ascii="Arial" w:cs="Arial" w:eastAsia="Arial" w:hAnsi="Arial"/>
          <w:sz w:val="22"/>
          <w:szCs w:val="22"/>
        </w:rPr>
        <w:t xml:space="preserve">U.S. DOJ Civil Rights Division (ADA complaints): ada.gov | 800-514-0301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Downtown Colorado Springs Transparency Report  |  April 2026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2026-04-10T11:16:04.176Z</dcterms:created>
  <dcterms:modified xsi:type="dcterms:W3CDTF">2026-04-10T11:16:04.179Z</dcterms:modified>
</cp:coreProperties>
</file>

<file path=docProps/custom.xml><?xml version="1.0" encoding="utf-8"?>
<Properties xmlns="http://schemas.openxmlformats.org/officeDocument/2006/custom-properties" xmlns:vt="http://schemas.openxmlformats.org/officeDocument/2006/docPropsVTypes"/>
</file>