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PerfAgent Project Documentation</w:t>
      </w:r>
    </w:p>
    <w:p>
      <w:r>
        <w:t>Vibe coding assignment | October 11, 2026</w:t>
      </w:r>
    </w:p>
    <w:p>
      <w:pPr>
        <w:pStyle w:val="Heading1"/>
      </w:pPr>
      <w:r>
        <w:t>Project overview</w:t>
      </w:r>
    </w:p>
    <w:p>
      <w:r>
        <w:t>I built PerfAgent, a performance troubleshooting application, incrementally with Codex. It turns hourly service metrics into a dashboard, deterministic investigation reports, and an incident timeline. The goal was to make degradation easier to identify and explain while keeping every conclusion connected to metric evidence.</w:t>
      </w:r>
    </w:p>
    <w:p>
      <w:r>
        <w:t>The working application uses Streamlit, DuckDB, pandas, and Plotly. It includes Overview, Performance Trends, Investigations, Raw Data, AI Agent, and Incident Timeline tabs. Shared service and UTC date filters keep the deterministic views consistent. Engineers can inspect latency, throughput, errors, CPU, and memory, then export evidence for further investigation.</w:t>
      </w:r>
    </w:p>
    <w:p>
      <w:r>
        <w:t>The final usable workflow does not require AI credits. An OpenAI tool-calling integration was implemented and tested with mocked responses, but a live request was blocked by API quota or billing limits. A local Ollama experiment was tried and removed after it slowed the machine.</w:t>
      </w:r>
    </w:p>
    <w:p>
      <w:pPr>
        <w:pStyle w:val="Heading1"/>
      </w:pPr>
      <w:r>
        <w:t>Dataset used</w:t>
      </w:r>
    </w:p>
    <w:p>
      <w:r>
        <w:t>The single source dataset is data/performance_metrics.csv from the project starter. It is entirely synthetic and contains no company or production monitoring data.</w:t>
      </w:r>
    </w:p>
    <w:tbl>
      <w:tblPr>
        <w:tblW w:type="auto" w:w="0"/>
        <w:jc w:val="center"/>
        <w:tblLayout w:type="fixed"/>
        <w:tblLook w:firstColumn="1" w:firstRow="1" w:lastColumn="0" w:lastRow="0" w:noHBand="0" w:noVBand="1" w:val="04A0"/>
      </w:tblPr>
      <w:tblGrid>
        <w:gridCol w:w="2232"/>
        <w:gridCol w:w="7704"/>
      </w:tblGrid>
      <w:tr>
        <w:trPr>
          <w:tblHeader/>
        </w:trPr>
        <w:tc>
          <w:tcPr>
            <w:tcW w:type="dxa" w:w="2232"/>
            <w:shd w:fill="30343B"/>
            <w:tcMar>
              <w:top w:w="90" w:type="dxa"/>
              <w:left w:w="90" w:type="dxa"/>
              <w:bottom w:w="90" w:type="dxa"/>
              <w:right w:w="90" w:type="dxa"/>
            </w:tcMar>
          </w:tcPr>
          <w:p>
            <w:pPr>
              <w:spacing w:after="60" w:before="60"/>
            </w:pPr>
            <w:r>
              <w:rPr>
                <w:b/>
                <w:color w:val="FFFFFF"/>
                <w:sz w:val="20"/>
              </w:rPr>
              <w:t>Attribute</w:t>
            </w:r>
          </w:p>
        </w:tc>
        <w:tc>
          <w:tcPr>
            <w:tcW w:type="dxa" w:w="7704"/>
            <w:shd w:fill="30343B"/>
            <w:tcMar>
              <w:top w:w="90" w:type="dxa"/>
              <w:left w:w="90" w:type="dxa"/>
              <w:bottom w:w="90" w:type="dxa"/>
              <w:right w:w="90" w:type="dxa"/>
            </w:tcMar>
          </w:tcPr>
          <w:p>
            <w:pPr>
              <w:spacing w:after="60" w:before="60"/>
            </w:pPr>
            <w:r>
              <w:rPr>
                <w:b/>
                <w:color w:val="FFFFFF"/>
                <w:sz w:val="20"/>
              </w:rPr>
              <w:t>Details</w:t>
            </w:r>
          </w:p>
        </w:tc>
      </w:tr>
      <w:tr>
        <w:trPr>
          <w:cantSplit/>
        </w:trPr>
        <w:tc>
          <w:tcPr>
            <w:tcW w:type="dxa" w:w="2232"/>
            <w:vAlign w:val="center"/>
            <w:shd w:fill="F2F3F5"/>
            <w:tcMar>
              <w:top w:w="90" w:type="dxa"/>
              <w:left w:w="90" w:type="dxa"/>
              <w:bottom w:w="90" w:type="dxa"/>
              <w:right w:w="90" w:type="dxa"/>
            </w:tcMar>
          </w:tcPr>
          <w:p>
            <w:pPr>
              <w:spacing w:after="60" w:before="60"/>
            </w:pPr>
            <w:r>
              <w:rPr>
                <w:sz w:val="20"/>
              </w:rPr>
              <w:t>Size and sampling</w:t>
            </w:r>
          </w:p>
        </w:tc>
        <w:tc>
          <w:tcPr>
            <w:tcW w:type="dxa" w:w="7704"/>
            <w:vAlign w:val="center"/>
            <w:shd w:fill="F2F3F5"/>
            <w:tcMar>
              <w:top w:w="90" w:type="dxa"/>
              <w:left w:w="90" w:type="dxa"/>
              <w:bottom w:w="90" w:type="dxa"/>
              <w:right w:w="90" w:type="dxa"/>
            </w:tcMar>
          </w:tcPr>
          <w:p>
            <w:pPr>
              <w:spacing w:after="60" w:before="60"/>
            </w:pPr>
            <w:r>
              <w:rPr>
                <w:sz w:val="20"/>
              </w:rPr>
              <w:t>504 rows: 3 services with 168 hourly samples each</w:t>
            </w:r>
          </w:p>
        </w:tc>
      </w:tr>
      <w:tr>
        <w:trPr>
          <w:cantSplit/>
        </w:trPr>
        <w:tc>
          <w:tcPr>
            <w:tcW w:type="dxa" w:w="2232"/>
            <w:vAlign w:val="center"/>
            <w:tcMar>
              <w:top w:w="90" w:type="dxa"/>
              <w:left w:w="90" w:type="dxa"/>
              <w:bottom w:w="90" w:type="dxa"/>
              <w:right w:w="90" w:type="dxa"/>
            </w:tcMar>
          </w:tcPr>
          <w:p>
            <w:pPr>
              <w:spacing w:after="60" w:before="60"/>
            </w:pPr>
            <w:r>
              <w:rPr>
                <w:sz w:val="20"/>
              </w:rPr>
              <w:t>Time range</w:t>
            </w:r>
          </w:p>
        </w:tc>
        <w:tc>
          <w:tcPr>
            <w:tcW w:type="dxa" w:w="7704"/>
            <w:vAlign w:val="center"/>
            <w:tcMar>
              <w:top w:w="90" w:type="dxa"/>
              <w:left w:w="90" w:type="dxa"/>
              <w:bottom w:w="90" w:type="dxa"/>
              <w:right w:w="90" w:type="dxa"/>
            </w:tcMar>
          </w:tcPr>
          <w:p>
            <w:pPr>
              <w:spacing w:after="60" w:before="60"/>
            </w:pPr>
            <w:r>
              <w:rPr>
                <w:sz w:val="20"/>
              </w:rPr>
              <w:t>October 1 to October 7, 2026; timestamps are treated as UTC</w:t>
            </w:r>
          </w:p>
        </w:tc>
      </w:tr>
      <w:tr>
        <w:trPr>
          <w:cantSplit/>
        </w:trPr>
        <w:tc>
          <w:tcPr>
            <w:tcW w:type="dxa" w:w="2232"/>
            <w:vAlign w:val="center"/>
            <w:shd w:fill="F2F3F5"/>
            <w:tcMar>
              <w:top w:w="90" w:type="dxa"/>
              <w:left w:w="90" w:type="dxa"/>
              <w:bottom w:w="90" w:type="dxa"/>
              <w:right w:w="90" w:type="dxa"/>
            </w:tcMar>
          </w:tcPr>
          <w:p>
            <w:pPr>
              <w:spacing w:after="60" w:before="60"/>
            </w:pPr>
            <w:r>
              <w:rPr>
                <w:sz w:val="20"/>
              </w:rPr>
              <w:t>Services</w:t>
            </w:r>
          </w:p>
        </w:tc>
        <w:tc>
          <w:tcPr>
            <w:tcW w:type="dxa" w:w="7704"/>
            <w:vAlign w:val="center"/>
            <w:shd w:fill="F2F3F5"/>
            <w:tcMar>
              <w:top w:w="90" w:type="dxa"/>
              <w:left w:w="90" w:type="dxa"/>
              <w:bottom w:w="90" w:type="dxa"/>
              <w:right w:w="90" w:type="dxa"/>
            </w:tcMar>
          </w:tcPr>
          <w:p>
            <w:pPr>
              <w:spacing w:after="60" w:before="60"/>
            </w:pPr>
            <w:r>
              <w:rPr>
                <w:sz w:val="20"/>
              </w:rPr>
              <w:t>checkout-api, data-ingestion, reporting-service</w:t>
            </w:r>
          </w:p>
        </w:tc>
      </w:tr>
      <w:tr>
        <w:trPr>
          <w:cantSplit/>
        </w:trPr>
        <w:tc>
          <w:tcPr>
            <w:tcW w:type="dxa" w:w="2232"/>
            <w:vAlign w:val="center"/>
            <w:tcMar>
              <w:top w:w="90" w:type="dxa"/>
              <w:left w:w="90" w:type="dxa"/>
              <w:bottom w:w="90" w:type="dxa"/>
              <w:right w:w="90" w:type="dxa"/>
            </w:tcMar>
          </w:tcPr>
          <w:p>
            <w:pPr>
              <w:spacing w:after="60" w:before="60"/>
            </w:pPr>
            <w:r>
              <w:rPr>
                <w:sz w:val="20"/>
              </w:rPr>
              <w:t>Environment</w:t>
            </w:r>
          </w:p>
        </w:tc>
        <w:tc>
          <w:tcPr>
            <w:tcW w:type="dxa" w:w="7704"/>
            <w:vAlign w:val="center"/>
            <w:tcMar>
              <w:top w:w="90" w:type="dxa"/>
              <w:left w:w="90" w:type="dxa"/>
              <w:bottom w:w="90" w:type="dxa"/>
              <w:right w:w="90" w:type="dxa"/>
            </w:tcMar>
          </w:tcPr>
          <w:p>
            <w:pPr>
              <w:spacing w:after="60" w:before="60"/>
            </w:pPr>
            <w:r>
              <w:rPr>
                <w:sz w:val="20"/>
              </w:rPr>
              <w:t>production is a synthetic label in the CSV</w:t>
            </w:r>
          </w:p>
        </w:tc>
      </w:tr>
      <w:tr>
        <w:trPr>
          <w:cantSplit/>
        </w:trPr>
        <w:tc>
          <w:tcPr>
            <w:tcW w:type="dxa" w:w="2232"/>
            <w:vAlign w:val="center"/>
            <w:shd w:fill="F2F3F5"/>
            <w:tcMar>
              <w:top w:w="90" w:type="dxa"/>
              <w:left w:w="90" w:type="dxa"/>
              <w:bottom w:w="90" w:type="dxa"/>
              <w:right w:w="90" w:type="dxa"/>
            </w:tcMar>
          </w:tcPr>
          <w:p>
            <w:pPr>
              <w:spacing w:after="60" w:before="60"/>
            </w:pPr>
            <w:r>
              <w:rPr>
                <w:sz w:val="20"/>
              </w:rPr>
              <w:t>Metrics</w:t>
            </w:r>
          </w:p>
        </w:tc>
        <w:tc>
          <w:tcPr>
            <w:tcW w:type="dxa" w:w="7704"/>
            <w:vAlign w:val="center"/>
            <w:shd w:fill="F2F3F5"/>
            <w:tcMar>
              <w:top w:w="90" w:type="dxa"/>
              <w:left w:w="90" w:type="dxa"/>
              <w:bottom w:w="90" w:type="dxa"/>
              <w:right w:w="90" w:type="dxa"/>
            </w:tcMar>
          </w:tcPr>
          <w:p>
            <w:pPr>
              <w:spacing w:after="60" w:before="60"/>
            </w:pPr>
            <w:r>
              <w:rPr>
                <w:sz w:val="20"/>
              </w:rPr>
              <w:t>Throughput in req/s; P95/P99 latency in ms; errors, CPU, and memory in percent; request count</w:t>
            </w:r>
          </w:p>
        </w:tc>
      </w:tr>
      <w:tr>
        <w:trPr>
          <w:cantSplit/>
        </w:trPr>
        <w:tc>
          <w:tcPr>
            <w:tcW w:type="dxa" w:w="2232"/>
            <w:vAlign w:val="center"/>
            <w:tcMar>
              <w:top w:w="90" w:type="dxa"/>
              <w:left w:w="90" w:type="dxa"/>
              <w:bottom w:w="90" w:type="dxa"/>
              <w:right w:w="90" w:type="dxa"/>
            </w:tcMar>
          </w:tcPr>
          <w:p>
            <w:pPr>
              <w:spacing w:after="60" w:before="60"/>
            </w:pPr>
            <w:r>
              <w:rPr>
                <w:sz w:val="20"/>
              </w:rPr>
              <w:t>Injected incident</w:t>
            </w:r>
          </w:p>
        </w:tc>
        <w:tc>
          <w:tcPr>
            <w:tcW w:type="dxa" w:w="7704"/>
            <w:vAlign w:val="center"/>
            <w:tcMar>
              <w:top w:w="90" w:type="dxa"/>
              <w:left w:w="90" w:type="dxa"/>
              <w:bottom w:w="90" w:type="dxa"/>
              <w:right w:w="90" w:type="dxa"/>
            </w:tcMar>
          </w:tcPr>
          <w:p>
            <w:pPr>
              <w:spacing w:after="60" w:before="60"/>
            </w:pPr>
            <w:r>
              <w:rPr>
                <w:sz w:val="20"/>
              </w:rPr>
              <w:t>data-ingestion on October 5, 09:00 through 19:00 UTC inclusive</w:t>
            </w:r>
          </w:p>
        </w:tc>
      </w:tr>
    </w:tbl>
    <w:p>
      <w:pPr>
        <w:spacing w:after="0"/>
      </w:pPr>
    </w:p>
    <w:p>
      <w:r>
        <w:t>The incident deliberately raises latency, errors, and CPU. It supports reproducible troubleshooting tests, but coincident symptoms do not prove a root cause.</w:t>
      </w:r>
    </w:p>
    <w:p>
      <w:r>
        <w:br w:type="page"/>
      </w:r>
    </w:p>
    <w:p>
      <w:pPr>
        <w:pStyle w:val="Heading1"/>
      </w:pPr>
      <w:r>
        <w:t>Prompts used during vibe coding</w:t>
      </w:r>
    </w:p>
    <w:p>
      <w:r>
        <w:t>I used three staged build prompts, followed by focused feedback on the running application. The excerpts below are from the actual conversation; the scope descriptions summarize the longer prompts.</w:t>
      </w:r>
    </w:p>
    <w:p>
      <w:pPr>
        <w:pStyle w:val="Heading2"/>
      </w:pPr>
      <w:r>
        <w:t>Prompt 1 Build PerfAgent Foundation</w:t>
      </w:r>
    </w:p>
    <w:p>
      <w:r>
        <w:t>Excerpt: “Build the application incrementally, starting with a working data analysis foundation.”</w:t>
      </w:r>
    </w:p>
    <w:p>
      <w:r>
        <w:t>I asked Codex to inspect the starter files, create app.py and db.py, load the CSV into DuckDB without duplicates, and build filtered performance charts. I also requested five reusable investigation functions with structured evidence and parameterized SQL. The prompt explicitly said: “Do not integrate an LLM yet.”</w:t>
      </w:r>
    </w:p>
    <w:p>
      <w:pPr>
        <w:pStyle w:val="Heading2"/>
      </w:pPr>
      <w:r>
        <w:t>Prompt 2 Prepare PerfAgent for AI Troubleshooting</w:t>
      </w:r>
    </w:p>
    <w:p>
      <w:r>
        <w:t>Excerpt: “First, inspect the existing application, database code, and investigation functions. Preserve all working functionality.”</w:t>
      </w:r>
    </w:p>
    <w:p>
      <w:r>
        <w:t>This prompt requested clearer KPI aggregation, incident and baseline tests, and an agent_tools.py module with validated JSON-serializable results. It added automated checks for loading, aggregation, detection, empty results, invalid dates, and tool schemas while deferring the OpenAI API.</w:t>
      </w:r>
    </w:p>
    <w:p>
      <w:pPr>
        <w:pStyle w:val="Heading2"/>
      </w:pPr>
      <w:r>
        <w:t>Prompt 3 Add an AI Troubleshooting Agent</w:t>
      </w:r>
    </w:p>
    <w:p>
      <w:r>
        <w:t>Excerpt: “Extend my existing PerfAgent Streamlit application with a real AI troubleshooting agent using the OpenAI API.”</w:t>
      </w:r>
    </w:p>
    <w:p>
      <w:r>
        <w:t>I requested a chat tab, secure environment-based credentials, tool calling, bounded iterations, evidence tables, and a structured investigation report. The constraints prohibited arbitrary SQL, Python, shell commands, and production operations. I also asked for mocked tests covering invalid tool arguments and failures, and for honest reporting of live API validation.</w:t>
      </w:r>
    </w:p>
    <w:p>
      <w:pPr>
        <w:pStyle w:val="Heading2"/>
      </w:pPr>
      <w:r>
        <w:t>Focused refinement prompts</w:t>
      </w:r>
    </w:p>
    <w:p>
      <w:pPr>
        <w:pStyle w:val="ListBullet"/>
      </w:pPr>
      <w:r>
        <w:t>“Currently it shows Mean P95/P99, instead display the worst observed hourly P95/P99 and request-weighted error rate as additional metrics.”</w:t>
      </w:r>
    </w:p>
    <w:p>
      <w:pPr>
        <w:pStyle w:val="ListBullet"/>
      </w:pPr>
      <w:r>
        <w:t>“Can you make the graph of Throughput, Error rate, CPU Utilization and Memory Utilization little bigger, so that data points are easily visible?” The original message contained spelling errors; this excerpt normalizes spelling.</w:t>
      </w:r>
    </w:p>
    <w:p>
      <w:pPr>
        <w:pStyle w:val="ListBullet"/>
      </w:pPr>
      <w:r>
        <w:t>“Check the Investigations - Predefined Questions sre not tht useful” prompted better question matching and combined degradation findings.</w:t>
      </w:r>
    </w:p>
    <w:p>
      <w:pPr>
        <w:pStyle w:val="ListBullet"/>
      </w:pPr>
      <w:r>
        <w:t>“Lets start ot build - Incident timeline” prompted hourly threshold markers, episode grouping, recovery observations, and evidence export.</w:t>
      </w:r>
    </w:p>
    <w:p>
      <w:r>
        <w:t>The later request to improve investigation results led to readable summaries, heuristic severity, baseline tables, hypotheses, and suggested checks, with raw JSON moved into an expandable section.</w:t>
      </w:r>
    </w:p>
    <w:p>
      <w:r>
        <w:br w:type="page"/>
      </w:r>
    </w:p>
    <w:p>
      <w:pPr>
        <w:pStyle w:val="Heading1"/>
      </w:pPr>
      <w:r>
        <w:t>Iterations and decisions</w:t>
      </w:r>
    </w:p>
    <w:p>
      <w:pPr>
        <w:pStyle w:val="Heading2"/>
      </w:pPr>
      <w:r>
        <w:t>Foundation and data access</w:t>
      </w:r>
    </w:p>
    <w:p>
      <w:r>
        <w:t>The first iteration created the dashboard and an idempotent CSV import. A primary key of timestamp, service, and environment prevents repeated imports from duplicating samples. Investigations read DuckDB through parameterized queries and read-only connections. Initialization remained a separate write operation.</w:t>
      </w:r>
    </w:p>
    <w:p>
      <w:pPr>
        <w:pStyle w:val="Heading2"/>
      </w:pPr>
      <w:r>
        <w:t>Metric definitions and chart readability</w:t>
      </w:r>
    </w:p>
    <w:p>
      <w:r>
        <w:t>The initial KPI layout showed means of hourly P95/P99 and crowded values. I replaced the latency cards with worst observed hourly percentiles, added request-weighted error rate, widened the layout, and made throughput units explicit. Four trend charts became full-width, 520-pixel charts with point markers.</w:t>
      </w:r>
    </w:p>
    <w:p>
      <w:r>
        <w:t>The definitions matter: the maximum hourly P95 is not a pooled request-level P95. Request-weighted error rate is the sum of hourly error rate times request count, divided by valid positive request counts. It remains approximate because the source hourly rates are rounded.</w:t>
      </w:r>
    </w:p>
    <w:p>
      <w:pPr>
        <w:pStyle w:val="Heading2"/>
      </w:pPr>
      <w:r>
        <w:t>AI tool interfaces and live API constraints</w:t>
      </w:r>
    </w:p>
    <w:p>
      <w:r>
        <w:t>The next iteration exposed five allowlisted tools: get_service_metrics, detect_latency_anomalies, detect_error_spikes, analyze_resource_utilization, and compare_with_baseline. Validation rejects invalid dates, ranges, and thresholds; unknown services produce empty findings.</w:t>
      </w:r>
    </w:p>
    <w:p>
      <w:r>
        <w:t>The OpenAI agent added a conversational interface, JSON reports, and tool execution steps. Its limits are four tool rounds, 12 executions, a maximum 31-day query window, and a 30-second timeout per API request. Mocked tests and SDK serialization tests passed. The live API returned HTTP 429 with a quota or billing-limit message, so it was not claimed to work end to end. Error messages were refined to identify safe categories without exposing credentials.</w:t>
      </w:r>
    </w:p>
    <w:p>
      <w:pPr>
        <w:pStyle w:val="Heading2"/>
      </w:pPr>
      <w:r>
        <w:t>Local model experiment and rollback</w:t>
      </w:r>
    </w:p>
    <w:p>
      <w:r>
        <w:t>Ollama and Qwen3 4B were installed as a possible credit-free alternative. On the 8 GB Mac, the live local investigation timed out and the machine slowed. A smaller-model download was declined. I stopped and uninstalled Ollama, removed the Qwen3 download and provider integration, and verified that no Ollama processes remained.</w:t>
      </w:r>
    </w:p>
    <w:p>
      <w:pPr>
        <w:pStyle w:val="Heading2"/>
      </w:pPr>
      <w:r>
        <w:t>A more useful deterministic workflow</w:t>
      </w:r>
    </w:p>
    <w:p>
      <w:r>
        <w:t>Exact-match predefined questions were too restrictive. The application now recognizes common troubleshooting terms while keeping service and dates controlled by the sidebar. A combined degradation report shows overlapping signals, baseline changes, and recommended read-only checks. The timeline groups consecutive abnormal samples per environment and distinguishes observed recovery from missing or incomplete evidence.</w:t>
      </w:r>
    </w:p>
    <w:p>
      <w:r>
        <w:t>A missing baseline warning also revealed a filter issue: selecting the full dataset asks for an equally long baseline before October 1. The warning now explains the requested dates and suggests comparing October 5 with October 4.</w:t>
      </w:r>
    </w:p>
    <w:p>
      <w:r>
        <w:br w:type="page"/>
      </w:r>
    </w:p>
    <w:p>
      <w:pPr>
        <w:pStyle w:val="Heading1"/>
      </w:pPr>
      <w:r>
        <w:t>Incident findings and validation</w:t>
      </w:r>
    </w:p>
    <w:p>
      <w:r>
        <w:t>Using the demonstration default thresholds for data-ingestion, I investigated October 5 from 09:00 UTC to 20:00 UTC, end exclusive. This contains 11 hourly incident samples. The preceding equal-duration comparison window is October 4 at 22:00 UTC to October 5 at 09:00 UTC.</w:t>
      </w:r>
    </w:p>
    <w:tbl>
      <w:tblPr>
        <w:tblW w:type="auto" w:w="0"/>
        <w:jc w:val="center"/>
        <w:tblLayout w:type="fixed"/>
        <w:tblLook w:firstColumn="1" w:firstRow="1" w:lastColumn="0" w:lastRow="0" w:noHBand="0" w:noVBand="1" w:val="04A0"/>
      </w:tblPr>
      <w:tblGrid>
        <w:gridCol w:w="3888"/>
        <w:gridCol w:w="3024"/>
        <w:gridCol w:w="3024"/>
      </w:tblGrid>
      <w:tr>
        <w:trPr>
          <w:tblHeader/>
        </w:trPr>
        <w:tc>
          <w:tcPr>
            <w:tcW w:type="dxa" w:w="3888"/>
            <w:shd w:fill="30343B"/>
            <w:tcMar>
              <w:top w:w="90" w:type="dxa"/>
              <w:left w:w="90" w:type="dxa"/>
              <w:bottom w:w="90" w:type="dxa"/>
              <w:right w:w="90" w:type="dxa"/>
            </w:tcMar>
          </w:tcPr>
          <w:p>
            <w:pPr>
              <w:spacing w:after="60" w:before="60"/>
            </w:pPr>
            <w:r>
              <w:rPr>
                <w:b/>
                <w:color w:val="FFFFFF"/>
                <w:sz w:val="20"/>
              </w:rPr>
              <w:t>Metric</w:t>
            </w:r>
          </w:p>
        </w:tc>
        <w:tc>
          <w:tcPr>
            <w:tcW w:type="dxa" w:w="3024"/>
            <w:shd w:fill="30343B"/>
            <w:tcMar>
              <w:top w:w="90" w:type="dxa"/>
              <w:left w:w="90" w:type="dxa"/>
              <w:bottom w:w="90" w:type="dxa"/>
              <w:right w:w="90" w:type="dxa"/>
            </w:tcMar>
          </w:tcPr>
          <w:p>
            <w:pPr>
              <w:spacing w:after="60" w:before="60"/>
            </w:pPr>
            <w:r>
              <w:rPr>
                <w:b/>
                <w:color w:val="FFFFFF"/>
                <w:sz w:val="20"/>
              </w:rPr>
              <w:t>Baseline mean</w:t>
            </w:r>
          </w:p>
        </w:tc>
        <w:tc>
          <w:tcPr>
            <w:tcW w:type="dxa" w:w="3024"/>
            <w:shd w:fill="30343B"/>
            <w:tcMar>
              <w:top w:w="90" w:type="dxa"/>
              <w:left w:w="90" w:type="dxa"/>
              <w:bottom w:w="90" w:type="dxa"/>
              <w:right w:w="90" w:type="dxa"/>
            </w:tcMar>
          </w:tcPr>
          <w:p>
            <w:pPr>
              <w:spacing w:after="60" w:before="60"/>
            </w:pPr>
            <w:r>
              <w:rPr>
                <w:b/>
                <w:color w:val="FFFFFF"/>
                <w:sz w:val="20"/>
              </w:rPr>
              <w:t>Incident mean</w:t>
            </w:r>
          </w:p>
        </w:tc>
      </w:tr>
      <w:tr>
        <w:trPr>
          <w:cantSplit/>
        </w:trPr>
        <w:tc>
          <w:tcPr>
            <w:tcW w:type="dxa" w:w="3888"/>
            <w:vAlign w:val="center"/>
            <w:shd w:fill="F2F3F5"/>
            <w:tcMar>
              <w:top w:w="90" w:type="dxa"/>
              <w:left w:w="90" w:type="dxa"/>
              <w:bottom w:w="90" w:type="dxa"/>
              <w:right w:w="90" w:type="dxa"/>
            </w:tcMar>
          </w:tcPr>
          <w:p>
            <w:pPr>
              <w:spacing w:after="60" w:before="60"/>
            </w:pPr>
            <w:r>
              <w:rPr>
                <w:sz w:val="20"/>
              </w:rPr>
              <w:t>Hourly P95 latency</w:t>
            </w:r>
          </w:p>
        </w:tc>
        <w:tc>
          <w:tcPr>
            <w:tcW w:type="dxa" w:w="3024"/>
            <w:vAlign w:val="center"/>
            <w:shd w:fill="F2F3F5"/>
            <w:tcMar>
              <w:top w:w="90" w:type="dxa"/>
              <w:left w:w="90" w:type="dxa"/>
              <w:bottom w:w="90" w:type="dxa"/>
              <w:right w:w="90" w:type="dxa"/>
            </w:tcMar>
          </w:tcPr>
          <w:p>
            <w:pPr>
              <w:spacing w:after="60" w:before="60"/>
            </w:pPr>
            <w:r>
              <w:rPr>
                <w:sz w:val="20"/>
              </w:rPr>
              <w:t>271.0 ms</w:t>
            </w:r>
          </w:p>
        </w:tc>
        <w:tc>
          <w:tcPr>
            <w:tcW w:type="dxa" w:w="3024"/>
            <w:vAlign w:val="center"/>
            <w:shd w:fill="F2F3F5"/>
            <w:tcMar>
              <w:top w:w="90" w:type="dxa"/>
              <w:left w:w="90" w:type="dxa"/>
              <w:bottom w:w="90" w:type="dxa"/>
              <w:right w:w="90" w:type="dxa"/>
            </w:tcMar>
          </w:tcPr>
          <w:p>
            <w:pPr>
              <w:spacing w:after="60" w:before="60"/>
            </w:pPr>
            <w:r>
              <w:rPr>
                <w:sz w:val="20"/>
              </w:rPr>
              <w:t>799.6 ms</w:t>
            </w:r>
          </w:p>
        </w:tc>
      </w:tr>
      <w:tr>
        <w:trPr>
          <w:cantSplit/>
        </w:trPr>
        <w:tc>
          <w:tcPr>
            <w:tcW w:type="dxa" w:w="3888"/>
            <w:vAlign w:val="center"/>
            <w:tcMar>
              <w:top w:w="90" w:type="dxa"/>
              <w:left w:w="90" w:type="dxa"/>
              <w:bottom w:w="90" w:type="dxa"/>
              <w:right w:w="90" w:type="dxa"/>
            </w:tcMar>
          </w:tcPr>
          <w:p>
            <w:pPr>
              <w:spacing w:after="60" w:before="60"/>
            </w:pPr>
            <w:r>
              <w:rPr>
                <w:sz w:val="20"/>
              </w:rPr>
              <w:t>Hourly P99 latency</w:t>
            </w:r>
          </w:p>
        </w:tc>
        <w:tc>
          <w:tcPr>
            <w:tcW w:type="dxa" w:w="3024"/>
            <w:vAlign w:val="center"/>
            <w:tcMar>
              <w:top w:w="90" w:type="dxa"/>
              <w:left w:w="90" w:type="dxa"/>
              <w:bottom w:w="90" w:type="dxa"/>
              <w:right w:w="90" w:type="dxa"/>
            </w:tcMar>
          </w:tcPr>
          <w:p>
            <w:pPr>
              <w:spacing w:after="60" w:before="60"/>
            </w:pPr>
            <w:r>
              <w:rPr>
                <w:sz w:val="20"/>
              </w:rPr>
              <w:t>410.7 ms</w:t>
            </w:r>
          </w:p>
        </w:tc>
        <w:tc>
          <w:tcPr>
            <w:tcW w:type="dxa" w:w="3024"/>
            <w:vAlign w:val="center"/>
            <w:tcMar>
              <w:top w:w="90" w:type="dxa"/>
              <w:left w:w="90" w:type="dxa"/>
              <w:bottom w:w="90" w:type="dxa"/>
              <w:right w:w="90" w:type="dxa"/>
            </w:tcMar>
          </w:tcPr>
          <w:p>
            <w:pPr>
              <w:spacing w:after="60" w:before="60"/>
            </w:pPr>
            <w:r>
              <w:rPr>
                <w:sz w:val="20"/>
              </w:rPr>
              <w:t>1,255.2 ms</w:t>
            </w:r>
          </w:p>
        </w:tc>
      </w:tr>
      <w:tr>
        <w:trPr>
          <w:cantSplit/>
        </w:trPr>
        <w:tc>
          <w:tcPr>
            <w:tcW w:type="dxa" w:w="3888"/>
            <w:vAlign w:val="center"/>
            <w:shd w:fill="F2F3F5"/>
            <w:tcMar>
              <w:top w:w="90" w:type="dxa"/>
              <w:left w:w="90" w:type="dxa"/>
              <w:bottom w:w="90" w:type="dxa"/>
              <w:right w:w="90" w:type="dxa"/>
            </w:tcMar>
          </w:tcPr>
          <w:p>
            <w:pPr>
              <w:spacing w:after="60" w:before="60"/>
            </w:pPr>
            <w:r>
              <w:rPr>
                <w:sz w:val="20"/>
              </w:rPr>
              <w:t>Throughput</w:t>
            </w:r>
          </w:p>
        </w:tc>
        <w:tc>
          <w:tcPr>
            <w:tcW w:type="dxa" w:w="3024"/>
            <w:vAlign w:val="center"/>
            <w:shd w:fill="F2F3F5"/>
            <w:tcMar>
              <w:top w:w="90" w:type="dxa"/>
              <w:left w:w="90" w:type="dxa"/>
              <w:bottom w:w="90" w:type="dxa"/>
              <w:right w:w="90" w:type="dxa"/>
            </w:tcMar>
          </w:tcPr>
          <w:p>
            <w:pPr>
              <w:spacing w:after="60" w:before="60"/>
            </w:pPr>
            <w:r>
              <w:rPr>
                <w:sz w:val="20"/>
              </w:rPr>
              <w:t>127.9 req/s</w:t>
            </w:r>
          </w:p>
        </w:tc>
        <w:tc>
          <w:tcPr>
            <w:tcW w:type="dxa" w:w="3024"/>
            <w:vAlign w:val="center"/>
            <w:shd w:fill="F2F3F5"/>
            <w:tcMar>
              <w:top w:w="90" w:type="dxa"/>
              <w:left w:w="90" w:type="dxa"/>
              <w:bottom w:w="90" w:type="dxa"/>
              <w:right w:w="90" w:type="dxa"/>
            </w:tcMar>
          </w:tcPr>
          <w:p>
            <w:pPr>
              <w:spacing w:after="60" w:before="60"/>
            </w:pPr>
            <w:r>
              <w:rPr>
                <w:sz w:val="20"/>
              </w:rPr>
              <w:t>103.6 req/s</w:t>
            </w:r>
          </w:p>
        </w:tc>
      </w:tr>
      <w:tr>
        <w:trPr>
          <w:cantSplit/>
        </w:trPr>
        <w:tc>
          <w:tcPr>
            <w:tcW w:type="dxa" w:w="3888"/>
            <w:vAlign w:val="center"/>
            <w:tcMar>
              <w:top w:w="90" w:type="dxa"/>
              <w:left w:w="90" w:type="dxa"/>
              <w:bottom w:w="90" w:type="dxa"/>
              <w:right w:w="90" w:type="dxa"/>
            </w:tcMar>
          </w:tcPr>
          <w:p>
            <w:pPr>
              <w:spacing w:after="60" w:before="60"/>
            </w:pPr>
            <w:r>
              <w:rPr>
                <w:sz w:val="20"/>
              </w:rPr>
              <w:t>Hourly error rate</w:t>
            </w:r>
          </w:p>
        </w:tc>
        <w:tc>
          <w:tcPr>
            <w:tcW w:type="dxa" w:w="3024"/>
            <w:vAlign w:val="center"/>
            <w:tcMar>
              <w:top w:w="90" w:type="dxa"/>
              <w:left w:w="90" w:type="dxa"/>
              <w:bottom w:w="90" w:type="dxa"/>
              <w:right w:w="90" w:type="dxa"/>
            </w:tcMar>
          </w:tcPr>
          <w:p>
            <w:pPr>
              <w:spacing w:after="60" w:before="60"/>
            </w:pPr>
            <w:r>
              <w:rPr>
                <w:sz w:val="20"/>
              </w:rPr>
              <w:t>0.45%</w:t>
            </w:r>
          </w:p>
        </w:tc>
        <w:tc>
          <w:tcPr>
            <w:tcW w:type="dxa" w:w="3024"/>
            <w:vAlign w:val="center"/>
            <w:tcMar>
              <w:top w:w="90" w:type="dxa"/>
              <w:left w:w="90" w:type="dxa"/>
              <w:bottom w:w="90" w:type="dxa"/>
              <w:right w:w="90" w:type="dxa"/>
            </w:tcMar>
          </w:tcPr>
          <w:p>
            <w:pPr>
              <w:spacing w:after="60" w:before="60"/>
            </w:pPr>
            <w:r>
              <w:rPr>
                <w:sz w:val="20"/>
              </w:rPr>
              <w:t>3.47%</w:t>
            </w:r>
          </w:p>
        </w:tc>
      </w:tr>
      <w:tr>
        <w:trPr>
          <w:cantSplit/>
        </w:trPr>
        <w:tc>
          <w:tcPr>
            <w:tcW w:type="dxa" w:w="3888"/>
            <w:vAlign w:val="center"/>
            <w:shd w:fill="F2F3F5"/>
            <w:tcMar>
              <w:top w:w="90" w:type="dxa"/>
              <w:left w:w="90" w:type="dxa"/>
              <w:bottom w:w="90" w:type="dxa"/>
              <w:right w:w="90" w:type="dxa"/>
            </w:tcMar>
          </w:tcPr>
          <w:p>
            <w:pPr>
              <w:spacing w:after="60" w:before="60"/>
            </w:pPr>
            <w:r>
              <w:rPr>
                <w:sz w:val="20"/>
              </w:rPr>
              <w:t>CPU utilization</w:t>
            </w:r>
          </w:p>
        </w:tc>
        <w:tc>
          <w:tcPr>
            <w:tcW w:type="dxa" w:w="3024"/>
            <w:vAlign w:val="center"/>
            <w:shd w:fill="F2F3F5"/>
            <w:tcMar>
              <w:top w:w="90" w:type="dxa"/>
              <w:left w:w="90" w:type="dxa"/>
              <w:bottom w:w="90" w:type="dxa"/>
              <w:right w:w="90" w:type="dxa"/>
            </w:tcMar>
          </w:tcPr>
          <w:p>
            <w:pPr>
              <w:spacing w:after="60" w:before="60"/>
            </w:pPr>
            <w:r>
              <w:rPr>
                <w:sz w:val="20"/>
              </w:rPr>
              <w:t>56.9%</w:t>
            </w:r>
          </w:p>
        </w:tc>
        <w:tc>
          <w:tcPr>
            <w:tcW w:type="dxa" w:w="3024"/>
            <w:vAlign w:val="center"/>
            <w:shd w:fill="F2F3F5"/>
            <w:tcMar>
              <w:top w:w="90" w:type="dxa"/>
              <w:left w:w="90" w:type="dxa"/>
              <w:bottom w:w="90" w:type="dxa"/>
              <w:right w:w="90" w:type="dxa"/>
            </w:tcMar>
          </w:tcPr>
          <w:p>
            <w:pPr>
              <w:spacing w:after="60" w:before="60"/>
            </w:pPr>
            <w:r>
              <w:rPr>
                <w:sz w:val="20"/>
              </w:rPr>
              <w:t>76.0%</w:t>
            </w:r>
          </w:p>
        </w:tc>
      </w:tr>
      <w:tr>
        <w:trPr>
          <w:cantSplit/>
        </w:trPr>
        <w:tc>
          <w:tcPr>
            <w:tcW w:type="dxa" w:w="3888"/>
            <w:vAlign w:val="center"/>
            <w:tcMar>
              <w:top w:w="90" w:type="dxa"/>
              <w:left w:w="90" w:type="dxa"/>
              <w:bottom w:w="90" w:type="dxa"/>
              <w:right w:w="90" w:type="dxa"/>
            </w:tcMar>
          </w:tcPr>
          <w:p>
            <w:pPr>
              <w:spacing w:after="60" w:before="60"/>
            </w:pPr>
            <w:r>
              <w:rPr>
                <w:sz w:val="20"/>
              </w:rPr>
              <w:t>Memory utilization</w:t>
            </w:r>
          </w:p>
        </w:tc>
        <w:tc>
          <w:tcPr>
            <w:tcW w:type="dxa" w:w="3024"/>
            <w:vAlign w:val="center"/>
            <w:tcMar>
              <w:top w:w="90" w:type="dxa"/>
              <w:left w:w="90" w:type="dxa"/>
              <w:bottom w:w="90" w:type="dxa"/>
              <w:right w:w="90" w:type="dxa"/>
            </w:tcMar>
          </w:tcPr>
          <w:p>
            <w:pPr>
              <w:spacing w:after="60" w:before="60"/>
            </w:pPr>
            <w:r>
              <w:rPr>
                <w:sz w:val="20"/>
              </w:rPr>
              <w:t>60.4%</w:t>
            </w:r>
          </w:p>
        </w:tc>
        <w:tc>
          <w:tcPr>
            <w:tcW w:type="dxa" w:w="3024"/>
            <w:vAlign w:val="center"/>
            <w:tcMar>
              <w:top w:w="90" w:type="dxa"/>
              <w:left w:w="90" w:type="dxa"/>
              <w:bottom w:w="90" w:type="dxa"/>
              <w:right w:w="90" w:type="dxa"/>
            </w:tcMar>
          </w:tcPr>
          <w:p>
            <w:pPr>
              <w:spacing w:after="60" w:before="60"/>
            </w:pPr>
            <w:r>
              <w:rPr>
                <w:sz w:val="20"/>
              </w:rPr>
              <w:t>68.6%</w:t>
            </w:r>
          </w:p>
        </w:tc>
      </w:tr>
    </w:tbl>
    <w:p>
      <w:pPr>
        <w:spacing w:after="0"/>
      </w:pPr>
    </w:p>
    <w:p>
      <w:r>
        <w:t>Latency and errors exceeded their thresholds together in all 11 incident samples. CPU exceeded 80% alongside latency at 10:00, 12:00, 13:00, and 18:00 UTC. Memory never exceeded 80%. The incident request-weighted error rate was approximately 3.44%.</w:t>
      </w:r>
    </w:p>
    <w:p>
      <w:r>
        <w:t>The timeline detected abnormal samples from 09:00 through 19:00 UTC and an observed return within thresholds at 20:00 UTC. These are sample observations, not exact incident onset or continuous duration. CPU pressure is an unconfirmed possible contributor during overlapping hours; dependency timing and workload changes remain alternatives.</w:t>
      </w:r>
    </w:p>
    <w:p>
      <w:pPr>
        <w:pStyle w:val="Heading1"/>
      </w:pPr>
      <w:r>
        <w:t>Automated checks</w:t>
      </w:r>
    </w:p>
    <w:p>
      <w:r>
        <w:t>The latest full regression run passed all 42 tests. Syntax checks and Streamlit smoke checks also passed, including the investigation report and Incident Timeline views.</w:t>
      </w:r>
    </w:p>
    <w:p>
      <w:pPr>
        <w:pStyle w:val="ListBullet"/>
      </w:pPr>
      <w:r>
        <w:t>Database checks: 504-row loading, repeated-import duplicate prevention, service/time filters, SQL parameter handling, and missing-file behavior.</w:t>
      </w:r>
    </w:p>
    <w:p>
      <w:pPr>
        <w:pStyle w:val="ListBullet"/>
      </w:pPr>
      <w:r>
        <w:t>Analysis checks: metric weighting, threshold detection, empty results, invalid date ranges, timezone normalization, structured outputs, and incident baseline comparisons.</w:t>
      </w:r>
    </w:p>
    <w:p>
      <w:pPr>
        <w:pStyle w:val="ListBullet"/>
      </w:pPr>
      <w:r>
        <w:t>Agent checks: mocked tool rounds, malformed arguments, unknown tools, failures, timeouts, limits, secret redaction, report schemas, missing-key behavior, and actual SDK serialization with a mock HTTP transport.</w:t>
      </w:r>
    </w:p>
    <w:p>
      <w:pPr>
        <w:pStyle w:val="ListBullet"/>
      </w:pPr>
      <w:r>
        <w:t>Timeline and report checks: incident recovery, filter boundaries, missing hours, incomplete samples, threshold equality, environment isolation, severity, and missing-baseline formatting.</w:t>
      </w:r>
    </w:p>
    <w:p>
      <w:r>
        <w:t>One initial test wrongly expected all 11 incident hours to exceed 80% resource utilization. The data showed four, so the expectation was corrected. An agent test also assumed an unavailable HTTP-library dependency; its fixture was corrected. These failures were reported rather than hidden.</w:t>
      </w:r>
    </w:p>
    <w:p>
      <w:r>
        <w:br w:type="page"/>
      </w:r>
    </w:p>
    <w:p>
      <w:pPr>
        <w:pStyle w:val="Heading1"/>
      </w:pPr>
      <w:r>
        <w:t>Learnings and workflow observations</w:t>
      </w:r>
    </w:p>
    <w:p>
      <w:r>
        <w:t>I learned that incremental prompts work best when they describe concrete behavior, constraints, and validation. Building a deterministic foundation first made the application useful before the AI integration and provided tools that could be tested independently of a model.</w:t>
      </w:r>
    </w:p>
    <w:p>
      <w:r>
        <w:t>Running the dashboard exposed issues that code inspection alone did not: truncated KPIs, small charts, generic questions, a stale provider selector, and a confusing baseline warning. Focused feedback led to smaller changes that were easier to verify than repeatedly rebuilding the application.</w:t>
      </w:r>
    </w:p>
    <w:p>
      <w:r>
        <w:t>Metric aggregation needs explicit definitions. Hourly percentile summaries, pooled percentiles, unweighted error means, and request-weighted rates answer different questions. Naming units and showing formulas prevented stronger conclusions than the data supported.</w:t>
      </w:r>
    </w:p>
    <w:p>
      <w:r>
        <w:t>Reliable troubleshooting separates observations from hypotheses. Evidence establishes which signals changed and overlapped; it does not establish the mechanism. Missing hours, incomplete samples, and a missing baseline should produce uncertainty rather than a normal-health claim.</w:t>
      </w:r>
    </w:p>
    <w:p>
      <w:r>
        <w:t>Mocked success and live success are different. The API integration passed controlled tests, but credits blocked the live request. The local model experiment showed that hardware limits also affect feasibility. Removing that experiment and retaining a working deterministic path was a practical outcome.</w:t>
      </w:r>
    </w:p>
    <w:p>
      <w:pPr>
        <w:pStyle w:val="Heading1"/>
      </w:pPr>
      <w:r>
        <w:t>Project structure and operation</w:t>
      </w:r>
    </w:p>
    <w:p>
      <w:r>
        <w:t>app.py assembles the dashboard; db.py handles ingestion and reads. analysis.py contains deterministic findings, metrics.py shares aggregation logic, and validation.py validates inputs. agent_tools.py provides the read-only tool boundary. ai_agent.py and ai_ui.py implement optional OpenAI investigations. timeline.py and investigation_ui.py provide episode analysis and readable reports.</w:t>
      </w:r>
    </w:p>
    <w:p>
      <w:r>
        <w:t>To run from the project folder:</w:t>
      </w:r>
    </w:p>
    <w:p>
      <w:r>
        <w:rPr>
          <w:rFonts w:ascii="Consolas" w:hAnsi="Consolas"/>
          <w:sz w:val="20"/>
        </w:rPr>
        <w:t>source .venv/bin/activate</w:t>
      </w:r>
    </w:p>
    <w:p>
      <w:r>
        <w:rPr>
          <w:rFonts w:ascii="Consolas" w:hAnsi="Consolas"/>
          <w:sz w:val="20"/>
        </w:rPr>
        <w:t>streamlit run app.py</w:t>
      </w:r>
    </w:p>
    <w:p>
      <w:r>
        <w:rPr>
          <w:rFonts w:ascii="Consolas" w:hAnsi="Consolas"/>
          <w:sz w:val="20"/>
        </w:rPr>
        <w:t>python -m unittest -v</w:t>
      </w:r>
    </w:p>
    <w:p>
      <w:r>
        <w:t>Open the local Streamlit URL. Choose data-ingestion and October 5 as both start and end date for the incident demonstration. The baseline then uses October 4. Keep credentials in the local .env file, excluded from version control. The dashboard, investigations, and timeline require no API key.</w:t>
      </w:r>
    </w:p>
    <w:p>
      <w:pPr>
        <w:pStyle w:val="Heading1"/>
      </w:pPr>
      <w:r>
        <w:t>Current limitations and next improvements</w:t>
      </w:r>
    </w:p>
    <w:p>
      <w:r>
        <w:t>The dataset is one week of synthetic hourly aggregates. Thresholds are demonstration heuristics, and the preceding window is not automatically a healthy baseline. Deterministic question matching does not extract service names or dates from free text. Live OpenAI agent behavior remains unverified because of quota limits.</w:t>
      </w:r>
    </w:p>
    <w:p>
      <w:r>
        <w:t>Service-specific thresholds are now implemented. Useful next steps are selectable healthy baselines, slowest-hours ranking, and stronger data-quality and sample-coverage checks. Any future live monitoring integration should retain the read-only tool boundary and evidence-first reporting.</w:t>
      </w:r>
    </w:p>
    <w:p>
      <w:r>
        <w:br w:type="page"/>
      </w:r>
    </w:p>
    <w:p>
      <w:pPr>
        <w:pStyle w:val="Heading1"/>
      </w:pPr>
      <w:r>
        <w:t>Service specific analysis and degradation heatmap</w:t>
      </w:r>
    </w:p>
    <w:p>
      <w:r>
        <w:t>After the initial report and timeline were working, I extended the project to make answers specific to every service, expose configurable limits, and show degradation across services on the Overview tab.</w:t>
      </w:r>
    </w:p>
    <w:p>
      <w:pPr>
        <w:pStyle w:val="Heading2"/>
      </w:pPr>
      <w:r>
        <w:t>Further prompts and outcomes</w:t>
      </w:r>
    </w:p>
    <w:p>
      <w:r>
        <w:t>Prompt: “Across each of the Service, can you make make the Troubleshooting questions to give proper snswer?” I tested all six predefined questions for checkout-api, data-ingestion, and reporting-service. Answers now include measured values, threshold comparisons, matching timestamps, baseline changes, and relevant next checks. Switching services refreshes the result; services without exceedances receive an explicit no-exceedance answer rather than a generic incident description.</w:t>
      </w:r>
    </w:p>
    <w:p>
      <w:r>
        <w:t>Prompt: “Service-specific thresholds”. I added independent saved profiles for P95, P99, error rate, CPU, and memory. Users edit limits in the sidebar and can reset only the selected service. Profiles persist in thresholds.json through atomic writes. The same saved values drive investigations, severity, timeline markers, chart reference lines, and default AI tool thresholds. Percent limits must be between 0 and 100; latency limits must be finite and nonnegative.</w:t>
      </w:r>
    </w:p>
    <w:p>
      <w:r>
        <w:t>Prompt: “Heat Map of Service degradation. It might better to show on the Overview tab”. I added an hourly heatmap for all services in the selected UTC date range. The selected service still controls the other views. Each cell counts affected signal groups: latency, errors, CPU, and memory. Latency is one group even when both P95 and P99 exceed their limits.</w:t>
      </w:r>
    </w:p>
    <w:p>
      <w:pPr>
        <w:pStyle w:val="Heading2"/>
      </w:pPr>
      <w:r>
        <w:t>Interpreting the heatmap</w:t>
      </w:r>
    </w:p>
    <w:p>
      <w:r>
        <w:t>Green means zero observed threshold exceedances. Yellow through red indicates one to four affected signal groups. Gray indicates a missing hourly sample or incomplete metric evidence. Hover details include the service, environment, UTC timestamp, observed values, and thresholds. Environments are kept separate so one environment cannot hide another’s degradation.</w:t>
      </w:r>
    </w:p>
    <w:p>
      <w:r>
        <w:t>This visualization compares threshold signals, not business impact or confirmed cause. A service with tighter configured limits can have more colored cells than another service without necessarily being less reliable. Zero exceedances should not be interpreted as proof of health.</w:t>
      </w:r>
    </w:p>
    <w:p>
      <w:pPr>
        <w:pStyle w:val="Heading2"/>
      </w:pPr>
      <w:r>
        <w:t>Updated validation and observations</w:t>
      </w:r>
    </w:p>
    <w:p>
      <w:r>
        <w:t>The latest full regression run passed 42 tests. Added checks cover service-specific answers across all six questions, configuration persistence and isolation, corrupt profiles, sidebar save and reset, agreement across investigations and timeline, all-service heatmap queries, missing data, and incident signal counts. The all-service database query is parameterized and read-only.</w:t>
      </w:r>
    </w:p>
    <w:p>
      <w:r>
        <w:t>These refinements reinforced the importance of testing normal windows as well as the injected incident. A useful answer should explain the values even when nothing crosses a threshold. It should also disclose the comparison basis so that changes in configuration do not look like changes in the underlying data.</w:t>
      </w:r>
    </w:p>
    <w:p>
      <w:pPr>
        <w:pStyle w:val="Heading2"/>
      </w:pPr>
      <w:r>
        <w:t>Live monitoring status</w:t>
      </w:r>
    </w:p>
    <w:p>
      <w:r>
        <w:t>Live Monitoring Integration was requested, but no monitoring provider or endpoint was supplied and the implementation was not completed. PerfAgent continues to use the synthetic CSV and local DuckDB. A future live connector needs a selected source, read-only access, metric and unit mappings, refresh behavior, and live connection validation. It is not part of the current working deliverable.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PerfAgent Project Documentation</dc:title>
  <dc:subject>Project overview datasets prompts iterations and learnings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