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ECA4" w14:textId="757424AB" w:rsidR="00EC6007" w:rsidRPr="00B14FDE" w:rsidRDefault="00B14FDE">
      <w:pPr>
        <w:rPr>
          <w:rFonts w:ascii="Calibri" w:eastAsia="Times New Roman" w:hAnsi="Calibri" w:cs="Times New Roman"/>
          <w:b/>
          <w:bCs/>
          <w:color w:val="000000" w:themeColor="text1"/>
          <w:kern w:val="0"/>
          <w14:ligatures w14:val="none"/>
        </w:rPr>
      </w:pPr>
      <w:r w:rsidRPr="00B14FDE">
        <w:rPr>
          <w:rFonts w:ascii="Calibri" w:eastAsia="Times New Roman" w:hAnsi="Calibri" w:cs="Times New Roman"/>
          <w:b/>
          <w:bCs/>
          <w:color w:val="000000" w:themeColor="text1"/>
          <w:kern w:val="0"/>
          <w14:ligatures w14:val="none"/>
        </w:rPr>
        <w:t>Common Random Numbers Application in Discrete Event Simulation for Disease Modeling</w:t>
      </w:r>
    </w:p>
    <w:p w14:paraId="0577D38F" w14:textId="77777777" w:rsidR="00B14FDE" w:rsidRDefault="00B14FDE"/>
    <w:p w14:paraId="342587B7" w14:textId="24214853" w:rsidR="00B14FDE" w:rsidRDefault="00B14FDE">
      <w:proofErr w:type="spellStart"/>
      <w:r>
        <w:t>Hanxuan</w:t>
      </w:r>
      <w:proofErr w:type="spellEnd"/>
      <w:r>
        <w:t xml:space="preserve"> Yu</w:t>
      </w:r>
      <w:r w:rsidRPr="00B14FDE">
        <w:rPr>
          <w:vertAlign w:val="superscript"/>
        </w:rPr>
        <w:t>1</w:t>
      </w:r>
      <w:r>
        <w:t>, John Graves</w:t>
      </w:r>
      <w:r w:rsidRPr="00B14FDE">
        <w:rPr>
          <w:vertAlign w:val="superscript"/>
        </w:rPr>
        <w:t>1</w:t>
      </w:r>
      <w:r>
        <w:t>, Shawn Garbett</w:t>
      </w:r>
      <w:r>
        <w:rPr>
          <w:vertAlign w:val="superscript"/>
        </w:rPr>
        <w:t>2</w:t>
      </w:r>
      <w:r>
        <w:t>, Ashley Leech</w:t>
      </w:r>
      <w:r w:rsidRPr="00B14FDE">
        <w:rPr>
          <w:vertAlign w:val="superscript"/>
        </w:rPr>
        <w:t>1</w:t>
      </w:r>
      <w:r>
        <w:t xml:space="preserve">, </w:t>
      </w:r>
      <w:proofErr w:type="spellStart"/>
      <w:r>
        <w:t>Jinyi</w:t>
      </w:r>
      <w:proofErr w:type="spellEnd"/>
      <w:r>
        <w:t xml:space="preserve"> Zhu</w:t>
      </w:r>
      <w:r w:rsidRPr="00B14FDE">
        <w:rPr>
          <w:vertAlign w:val="superscript"/>
        </w:rPr>
        <w:t>1</w:t>
      </w:r>
    </w:p>
    <w:p w14:paraId="4AEF5892" w14:textId="77777777" w:rsidR="00B14FDE" w:rsidRDefault="00B14FDE"/>
    <w:p w14:paraId="5091C516" w14:textId="77777777" w:rsidR="00B14FDE" w:rsidRPr="0050688B" w:rsidRDefault="00B14FDE" w:rsidP="00B14FDE">
      <w:pPr>
        <w:rPr>
          <w:rFonts w:ascii="Calibri" w:hAnsi="Calibri" w:cs="Calibri"/>
          <w:i/>
          <w:iCs/>
          <w:color w:val="000000" w:themeColor="text1"/>
        </w:rPr>
      </w:pPr>
      <w:r w:rsidRPr="0050688B">
        <w:rPr>
          <w:rFonts w:ascii="Calibri" w:hAnsi="Calibri" w:cs="Calibri"/>
          <w:i/>
          <w:iCs/>
          <w:color w:val="000000" w:themeColor="text1"/>
        </w:rPr>
        <w:t xml:space="preserve">Affiliations: </w:t>
      </w:r>
    </w:p>
    <w:p w14:paraId="0342CED0" w14:textId="77777777" w:rsidR="00B14FDE" w:rsidRDefault="00B14FDE" w:rsidP="00B14FDE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 w:rsidRPr="0050688B">
        <w:rPr>
          <w:rFonts w:ascii="Calibri" w:hAnsi="Calibri" w:cs="Calibri"/>
          <w:i/>
          <w:iCs/>
          <w:color w:val="000000" w:themeColor="text1"/>
          <w:vertAlign w:val="superscript"/>
        </w:rPr>
        <w:t>1</w:t>
      </w:r>
      <w:r w:rsidRPr="0050688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Department of Health Policy, Vanderbilt University School of Medicine, Nashville, TN</w:t>
      </w:r>
    </w:p>
    <w:p w14:paraId="447AEFDA" w14:textId="15E34A38" w:rsidR="00B14FDE" w:rsidRPr="0050688B" w:rsidRDefault="00B14FDE" w:rsidP="00B14FDE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vertAlign w:val="superscript"/>
        </w:rPr>
        <w:t>2</w:t>
      </w:r>
      <w:r w:rsidRPr="0050688B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Department of </w:t>
      </w: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Biostatistics</w:t>
      </w:r>
      <w:r w:rsidRPr="0050688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, Vanderbilt University School of Medicine, Nashville, TN</w:t>
      </w:r>
    </w:p>
    <w:p w14:paraId="70C855D5" w14:textId="77777777" w:rsidR="00B14FDE" w:rsidRDefault="00B14FDE"/>
    <w:p w14:paraId="66CED08C" w14:textId="23C7510F" w:rsidR="00B14FDE" w:rsidRPr="0050688B" w:rsidRDefault="00B14FDE" w:rsidP="00B14FDE">
      <w:pPr>
        <w:pStyle w:val="NormalWeb"/>
        <w:spacing w:before="0" w:beforeAutospacing="0" w:after="200" w:afterAutospacing="0"/>
        <w:rPr>
          <w:rFonts w:ascii="Calibri" w:hAnsi="Calibri"/>
          <w:color w:val="000000" w:themeColor="text1"/>
        </w:rPr>
      </w:pPr>
      <w:r w:rsidRPr="0050688B">
        <w:rPr>
          <w:rFonts w:ascii="Calibri" w:hAnsi="Calibri"/>
          <w:b/>
          <w:color w:val="000000" w:themeColor="text1"/>
        </w:rPr>
        <w:t>Word count</w:t>
      </w:r>
      <w:r w:rsidRPr="0050688B">
        <w:rPr>
          <w:rFonts w:ascii="Calibri" w:hAnsi="Calibri"/>
          <w:color w:val="000000" w:themeColor="text1"/>
        </w:rPr>
        <w:t>:  out of 375</w:t>
      </w:r>
    </w:p>
    <w:p w14:paraId="030C9E3F" w14:textId="77777777" w:rsidR="00B14FDE" w:rsidRPr="0050688B" w:rsidRDefault="00B14FDE" w:rsidP="00B14FDE">
      <w:pPr>
        <w:pStyle w:val="NormalWeb"/>
        <w:spacing w:after="200"/>
        <w:rPr>
          <w:rFonts w:ascii="Calibri" w:hAnsi="Calibri"/>
          <w:color w:val="000000" w:themeColor="text1"/>
        </w:rPr>
      </w:pPr>
      <w:r w:rsidRPr="0050688B">
        <w:rPr>
          <w:rFonts w:ascii="Calibri" w:hAnsi="Calibri"/>
          <w:b/>
          <w:bCs/>
          <w:color w:val="000000" w:themeColor="text1"/>
        </w:rPr>
        <w:t>Submission Category:</w:t>
      </w:r>
      <w:r w:rsidRPr="0050688B">
        <w:rPr>
          <w:rFonts w:ascii="Calibri" w:hAnsi="Calibri"/>
          <w:color w:val="000000" w:themeColor="text1"/>
        </w:rPr>
        <w:t xml:space="preserve"> Quantitative Methods and Theoretical Developments (QMTD)</w:t>
      </w:r>
    </w:p>
    <w:p w14:paraId="457F28A9" w14:textId="6075E771" w:rsidR="00B14FDE" w:rsidRDefault="00B14FDE">
      <w:r w:rsidRPr="00B14FDE">
        <w:rPr>
          <w:rFonts w:ascii="Calibri" w:eastAsia="Times New Roman" w:hAnsi="Calibri" w:cs="Calibri"/>
          <w:b/>
          <w:bCs/>
          <w:kern w:val="0"/>
          <w14:ligatures w14:val="none"/>
        </w:rPr>
        <w:t>Purpose:</w:t>
      </w:r>
      <w:r w:rsidRPr="00B14FDE">
        <w:t xml:space="preserve"> </w:t>
      </w:r>
      <w:r w:rsidR="00517DBF">
        <w:t>When applying d</w:t>
      </w:r>
      <w:r w:rsidRPr="00B14FDE">
        <w:t>isease simulation techniques to the decision-making progress</w:t>
      </w:r>
      <w:r w:rsidR="00517DBF">
        <w:t>, s</w:t>
      </w:r>
      <w:r w:rsidRPr="00B14FDE">
        <w:t xml:space="preserve">tochastic noise can always be distracting and overlap the true difference between strategies, which lead to more effort and higher cost in time and computational resource. Common random </w:t>
      </w:r>
      <w:proofErr w:type="gramStart"/>
      <w:r w:rsidRPr="00B14FDE">
        <w:t>numbers(</w:t>
      </w:r>
      <w:proofErr w:type="gramEnd"/>
      <w:r w:rsidRPr="00B14FDE">
        <w:t>CRN</w:t>
      </w:r>
      <w:r w:rsidR="00517DBF">
        <w:t>s</w:t>
      </w:r>
      <w:r w:rsidRPr="00B14FDE">
        <w:t xml:space="preserve">) </w:t>
      </w:r>
      <w:r w:rsidR="00517DBF">
        <w:t>help</w:t>
      </w:r>
      <w:r w:rsidRPr="00B14FDE">
        <w:t xml:space="preserve"> to reduce the variance between model runs and emphasize the effect of changing parameters of </w:t>
      </w:r>
      <w:r w:rsidR="00517DBF">
        <w:t xml:space="preserve">the </w:t>
      </w:r>
      <w:proofErr w:type="spellStart"/>
      <w:r w:rsidR="00517DBF">
        <w:t>modeller's</w:t>
      </w:r>
      <w:proofErr w:type="spellEnd"/>
      <w:r w:rsidRPr="00B14FDE">
        <w:t xml:space="preserve"> interest. Compared to micro-simulation, less research and application of CRN have been found among previous literature using DES for disease simulation </w:t>
      </w:r>
      <w:r w:rsidR="00517DBF">
        <w:t>modelling</w:t>
      </w:r>
      <w:r w:rsidRPr="00B14FDE">
        <w:t xml:space="preserve">. We provide </w:t>
      </w:r>
      <w:r w:rsidR="00517DBF">
        <w:t>an</w:t>
      </w:r>
      <w:r w:rsidRPr="00B14FDE">
        <w:t xml:space="preserve"> application of CRN to demonstrate its advantages in DES.</w:t>
      </w:r>
    </w:p>
    <w:p w14:paraId="15D16AFA" w14:textId="77777777" w:rsidR="00B14FDE" w:rsidRDefault="00B14FDE" w:rsidP="00B14FDE"/>
    <w:p w14:paraId="2937A2C8" w14:textId="566C9CFC" w:rsidR="00C92A83" w:rsidRDefault="00B14FDE" w:rsidP="00B14FDE">
      <w:r w:rsidRPr="0050688B">
        <w:rPr>
          <w:rFonts w:ascii="Calibri" w:hAnsi="Calibri" w:cs="Calibri"/>
          <w:b/>
          <w:bCs/>
        </w:rPr>
        <w:t xml:space="preserve">Methods: </w:t>
      </w:r>
      <w:r>
        <w:t xml:space="preserve">Based on </w:t>
      </w:r>
      <w:r w:rsidR="00BD40D3">
        <w:t xml:space="preserve">the </w:t>
      </w:r>
      <w:r>
        <w:t xml:space="preserve">2017-2018 National Health and Nutrition Examination Survey database, we developed a DES model to evaluate the cost-effectiveness of statin treatment in people aged 40 to 80 in the US at risk of atherosclerotic cardiovascular </w:t>
      </w:r>
      <w:r w:rsidR="00517DBF">
        <w:t>disease (</w:t>
      </w:r>
      <w:r>
        <w:t xml:space="preserve">ASCVD) over a </w:t>
      </w:r>
      <w:r w:rsidR="00517DBF">
        <w:t>lifetime</w:t>
      </w:r>
      <w:r>
        <w:t xml:space="preserve"> horizon. Every possible event with</w:t>
      </w:r>
      <w:r w:rsidR="00517DBF">
        <w:t>i</w:t>
      </w:r>
      <w:r>
        <w:t xml:space="preserve">n an </w:t>
      </w:r>
      <w:r w:rsidR="00BD40D3">
        <w:t>individual</w:t>
      </w:r>
      <w:r>
        <w:t xml:space="preserve">, including death due to background mortality, fatal ASCVD event, non-fatal ASCVD, death after ASCVD and statin adverse event was assigned an independent random number which is individual-specific and event-specific but </w:t>
      </w:r>
      <w:r w:rsidR="00BD40D3">
        <w:t>stayed</w:t>
      </w:r>
      <w:r>
        <w:t xml:space="preserve"> the same ("common") across model runs. The random number was used to be compared to the alterable probability and determine the stochastic event.</w:t>
      </w:r>
      <w:r w:rsidR="00BD40D3">
        <w:t xml:space="preserve"> </w:t>
      </w:r>
      <w:r w:rsidR="00C92A83">
        <w:t>T</w:t>
      </w:r>
      <w:r w:rsidR="00BD40D3">
        <w:t>he time to the event is</w:t>
      </w:r>
      <w:r w:rsidR="00C92A83">
        <w:t xml:space="preserve"> usually</w:t>
      </w:r>
      <w:r w:rsidR="00BD40D3">
        <w:t xml:space="preserve"> a random number </w:t>
      </w:r>
      <w:r w:rsidR="00C92A83">
        <w:t>generated from</w:t>
      </w:r>
      <w:r w:rsidR="00BD40D3">
        <w:t xml:space="preserve"> </w:t>
      </w:r>
      <w:r w:rsidR="00C92A83">
        <w:t>an</w:t>
      </w:r>
      <w:r w:rsidR="00BD40D3">
        <w:t xml:space="preserve"> exponentiation distribution. CRN is used as standard uniform random </w:t>
      </w:r>
      <w:r w:rsidR="00C92A83">
        <w:t>input</w:t>
      </w:r>
      <w:r w:rsidR="00BD40D3">
        <w:t xml:space="preserve"> in the inverse cumulative distribution function to generate the non-uniform quantile</w:t>
      </w:r>
      <w:r w:rsidR="00C92A83">
        <w:t xml:space="preserve"> which can be converted into the time variable. </w:t>
      </w:r>
    </w:p>
    <w:p w14:paraId="504BA5C7" w14:textId="77777777" w:rsidR="00B14FDE" w:rsidRDefault="00B14FDE" w:rsidP="00B14FDE"/>
    <w:p w14:paraId="4C6FE89F" w14:textId="77DED8A3" w:rsidR="00B14FDE" w:rsidRDefault="00B14FDE" w:rsidP="00B14FDE">
      <w:pPr>
        <w:rPr>
          <w:rFonts w:ascii="Calibri" w:hAnsi="Calibri" w:cs="Calibri"/>
          <w:b/>
          <w:bCs/>
        </w:rPr>
      </w:pPr>
      <w:r w:rsidRPr="0050688B">
        <w:rPr>
          <w:rFonts w:ascii="Calibri" w:hAnsi="Calibri" w:cs="Calibri"/>
          <w:b/>
          <w:bCs/>
        </w:rPr>
        <w:t>Results:</w:t>
      </w:r>
      <w:r w:rsidR="003A7D41">
        <w:rPr>
          <w:rFonts w:ascii="Calibri" w:hAnsi="Calibri" w:cs="Calibri"/>
          <w:b/>
          <w:bCs/>
        </w:rPr>
        <w:t xml:space="preserve"> </w:t>
      </w:r>
    </w:p>
    <w:p w14:paraId="1529DA82" w14:textId="7F7ADD5D" w:rsidR="00492310" w:rsidRPr="003B1932" w:rsidRDefault="004E5679" w:rsidP="00B14FDE">
      <w:pPr>
        <w:rPr>
          <w:rFonts w:ascii="Calibri" w:hAnsi="Calibri" w:cs="Calibri"/>
          <w:bCs/>
        </w:rPr>
      </w:pPr>
      <w:r w:rsidRPr="004E5679">
        <w:rPr>
          <w:rFonts w:ascii="Calibri" w:hAnsi="Calibri" w:cs="Calibri"/>
          <w:bCs/>
        </w:rPr>
        <w:t xml:space="preserve">Panel A </w:t>
      </w:r>
      <w:r>
        <w:rPr>
          <w:rFonts w:ascii="Calibri" w:hAnsi="Calibri" w:cs="Calibri"/>
          <w:bCs/>
        </w:rPr>
        <w:t>demonstrate</w:t>
      </w:r>
      <w:r w:rsidRPr="004E5679">
        <w:rPr>
          <w:rFonts w:ascii="Calibri" w:hAnsi="Calibri" w:cs="Calibri"/>
          <w:bCs/>
        </w:rPr>
        <w:t xml:space="preserve">s </w:t>
      </w:r>
      <w:r>
        <w:rPr>
          <w:rFonts w:ascii="Calibri" w:hAnsi="Calibri" w:cs="Calibri"/>
          <w:bCs/>
        </w:rPr>
        <w:t xml:space="preserve">CRNs reduced the variance of outcomes </w:t>
      </w:r>
      <w:r w:rsidRPr="004E5679">
        <w:rPr>
          <w:rFonts w:ascii="Calibri" w:hAnsi="Calibri" w:cs="Calibri"/>
          <w:bCs/>
        </w:rPr>
        <w:t>through</w:t>
      </w:r>
      <w:r>
        <w:rPr>
          <w:rFonts w:ascii="Calibri" w:hAnsi="Calibri" w:cs="Calibri"/>
          <w:bCs/>
        </w:rPr>
        <w:t xml:space="preserve"> model</w:t>
      </w:r>
      <w:r w:rsidRPr="004E5679">
        <w:rPr>
          <w:rFonts w:ascii="Calibri" w:hAnsi="Calibri" w:cs="Calibri"/>
          <w:bCs/>
        </w:rPr>
        <w:t xml:space="preserve"> runs with varying RR of ASCVD</w:t>
      </w:r>
      <w:r>
        <w:rPr>
          <w:rFonts w:ascii="Calibri" w:hAnsi="Calibri" w:cs="Calibri"/>
          <w:bCs/>
        </w:rPr>
        <w:t xml:space="preserve">. </w:t>
      </w:r>
      <w:r w:rsidR="00520712">
        <w:rPr>
          <w:rFonts w:ascii="Calibri" w:hAnsi="Calibri" w:cs="Calibri"/>
          <w:bCs/>
        </w:rPr>
        <w:t xml:space="preserve">The Use of CRNs enabled direct comparison between alternative parameters. </w:t>
      </w:r>
      <w:proofErr w:type="spellStart"/>
      <w:r w:rsidRPr="004E5679">
        <w:rPr>
          <w:rFonts w:ascii="Calibri" w:hAnsi="Calibri" w:cs="Calibri"/>
          <w:bCs/>
        </w:rPr>
        <w:t>Panel</w:t>
      </w:r>
      <w:proofErr w:type="spellEnd"/>
      <w:r w:rsidRPr="004E5679">
        <w:rPr>
          <w:rFonts w:ascii="Calibri" w:hAnsi="Calibri" w:cs="Calibri"/>
          <w:bCs/>
        </w:rPr>
        <w:t xml:space="preserve"> B </w:t>
      </w:r>
      <w:r>
        <w:rPr>
          <w:rFonts w:ascii="Calibri" w:hAnsi="Calibri" w:cs="Calibri"/>
          <w:bCs/>
        </w:rPr>
        <w:t>indicate</w:t>
      </w:r>
      <w:r w:rsidRPr="004E5679">
        <w:rPr>
          <w:rFonts w:ascii="Calibri" w:hAnsi="Calibri" w:cs="Calibri"/>
          <w:bCs/>
        </w:rPr>
        <w:t xml:space="preserve">s </w:t>
      </w:r>
      <w:r>
        <w:rPr>
          <w:rFonts w:ascii="Calibri" w:hAnsi="Calibri" w:cs="Calibri"/>
          <w:bCs/>
        </w:rPr>
        <w:t xml:space="preserve">CRNs emphasize the difference between the strategies on the background of patient-level noises and contribute to faster convergence. </w:t>
      </w:r>
    </w:p>
    <w:p w14:paraId="03ED1146" w14:textId="77777777" w:rsidR="00492310" w:rsidRDefault="00492310" w:rsidP="00B14FDE"/>
    <w:p w14:paraId="6D86BBE5" w14:textId="7AB4B0AF" w:rsidR="003A7D41" w:rsidRDefault="003A7D41" w:rsidP="00B14FDE">
      <w:pPr>
        <w:rPr>
          <w:rFonts w:ascii="Calibri" w:hAnsi="Calibri" w:cs="Calibri"/>
          <w:b/>
          <w:bCs/>
        </w:rPr>
      </w:pPr>
      <w:r w:rsidRPr="0050688B">
        <w:rPr>
          <w:rFonts w:ascii="Calibri" w:hAnsi="Calibri" w:cs="Calibri"/>
          <w:b/>
          <w:bCs/>
        </w:rPr>
        <w:t>Conclusion:</w:t>
      </w:r>
      <w:r>
        <w:rPr>
          <w:rFonts w:ascii="Calibri" w:hAnsi="Calibri" w:cs="Calibri"/>
          <w:b/>
          <w:bCs/>
        </w:rPr>
        <w:t xml:space="preserve"> </w:t>
      </w:r>
    </w:p>
    <w:p w14:paraId="35FEA5B5" w14:textId="251832CA" w:rsidR="004E5679" w:rsidRDefault="004E5679" w:rsidP="00B14FDE">
      <w:pPr>
        <w:rPr>
          <w:rFonts w:ascii="Calibri" w:hAnsi="Calibri" w:cs="Calibri"/>
        </w:rPr>
      </w:pPr>
      <w:r>
        <w:rPr>
          <w:rFonts w:ascii="Calibri" w:hAnsi="Calibri" w:cs="Calibri"/>
        </w:rPr>
        <w:t>Due to the need for hundreds of thousands of trajectories to converge</w:t>
      </w:r>
      <w:r w:rsidR="00520712">
        <w:rPr>
          <w:rFonts w:ascii="Calibri" w:hAnsi="Calibri" w:cs="Calibri"/>
        </w:rPr>
        <w:t xml:space="preserve"> and hundreds of </w:t>
      </w:r>
      <w:proofErr w:type="gramStart"/>
      <w:r w:rsidR="00520712">
        <w:rPr>
          <w:rFonts w:ascii="Calibri" w:hAnsi="Calibri" w:cs="Calibri"/>
        </w:rPr>
        <w:t>model</w:t>
      </w:r>
      <w:proofErr w:type="gramEnd"/>
      <w:r w:rsidR="00520712">
        <w:rPr>
          <w:rFonts w:ascii="Calibri" w:hAnsi="Calibri" w:cs="Calibri"/>
        </w:rPr>
        <w:t xml:space="preserve"> </w:t>
      </w:r>
      <w:r w:rsidR="00520712">
        <w:rPr>
          <w:rFonts w:ascii="Calibri" w:hAnsi="Calibri" w:cs="Calibri" w:hint="eastAsia"/>
        </w:rPr>
        <w:t>run</w:t>
      </w:r>
      <w:r w:rsidR="00520712">
        <w:rPr>
          <w:rFonts w:ascii="Calibri" w:hAnsi="Calibri" w:cs="Calibri"/>
        </w:rPr>
        <w:t>s in the probabilistic sensitivity analysis</w:t>
      </w:r>
      <w:r>
        <w:rPr>
          <w:rFonts w:ascii="Calibri" w:hAnsi="Calibri" w:cs="Calibri"/>
        </w:rPr>
        <w:t xml:space="preserve">, it is meaningful in discrete event simulation to </w:t>
      </w:r>
      <w:r w:rsidR="00520712">
        <w:rPr>
          <w:rFonts w:ascii="Calibri" w:hAnsi="Calibri" w:cs="Calibri"/>
        </w:rPr>
        <w:t xml:space="preserve">converge faster and reduce the stochastic noise when doing the </w:t>
      </w:r>
      <w:r w:rsidR="00520712">
        <w:rPr>
          <w:rFonts w:ascii="Calibri" w:hAnsi="Calibri" w:cs="Calibri" w:hint="eastAsia"/>
        </w:rPr>
        <w:t>sensitivity</w:t>
      </w:r>
      <w:r w:rsidR="00520712">
        <w:rPr>
          <w:rFonts w:ascii="Calibri" w:hAnsi="Calibri" w:cs="Calibri"/>
        </w:rPr>
        <w:t xml:space="preserve"> analysis.</w:t>
      </w:r>
      <w:r>
        <w:rPr>
          <w:rFonts w:ascii="Calibri" w:hAnsi="Calibri" w:cs="Calibri"/>
        </w:rPr>
        <w:t xml:space="preserve"> Common </w:t>
      </w:r>
      <w:r>
        <w:rPr>
          <w:rFonts w:ascii="Calibri" w:hAnsi="Calibri" w:cs="Calibri"/>
        </w:rPr>
        <w:lastRenderedPageBreak/>
        <w:t xml:space="preserve">Random Numbers </w:t>
      </w:r>
      <w:r w:rsidR="00520712">
        <w:rPr>
          <w:rFonts w:ascii="Calibri" w:hAnsi="Calibri" w:cs="Calibri"/>
        </w:rPr>
        <w:t xml:space="preserve">promote </w:t>
      </w:r>
      <w:r w:rsidR="00520712">
        <w:rPr>
          <w:rFonts w:ascii="Calibri" w:hAnsi="Calibri" w:cs="Calibri" w:hint="eastAsia"/>
        </w:rPr>
        <w:t>efficiency</w:t>
      </w:r>
      <w:r w:rsidR="00520712">
        <w:rPr>
          <w:rFonts w:ascii="Calibri" w:hAnsi="Calibri" w:cs="Calibri"/>
        </w:rPr>
        <w:t xml:space="preserve"> in the disease simulation and help with the </w:t>
      </w:r>
      <w:r w:rsidR="00520712">
        <w:rPr>
          <w:rFonts w:ascii="Calibri" w:hAnsi="Calibri" w:cs="Calibri" w:hint="eastAsia"/>
        </w:rPr>
        <w:t>decision-making</w:t>
      </w:r>
      <w:r w:rsidR="00520712">
        <w:rPr>
          <w:rFonts w:ascii="Calibri" w:hAnsi="Calibri" w:cs="Calibri"/>
        </w:rPr>
        <w:t xml:space="preserve"> progress. </w:t>
      </w:r>
    </w:p>
    <w:p w14:paraId="22471CF8" w14:textId="77777777" w:rsidR="003B1932" w:rsidRDefault="003B1932" w:rsidP="00B14FDE">
      <w:pPr>
        <w:rPr>
          <w:rFonts w:ascii="Calibri" w:hAnsi="Calibri" w:cs="Calibri"/>
        </w:rPr>
      </w:pPr>
    </w:p>
    <w:p w14:paraId="35C1DBD5" w14:textId="77777777" w:rsidR="003B1932" w:rsidRDefault="003B1932" w:rsidP="00B14FDE">
      <w:pPr>
        <w:rPr>
          <w:rFonts w:ascii="Calibri" w:hAnsi="Calibri" w:cs="Calibri"/>
        </w:rPr>
      </w:pPr>
    </w:p>
    <w:p w14:paraId="08BA60BE" w14:textId="77777777" w:rsidR="003B1932" w:rsidRDefault="003B1932" w:rsidP="003B1932">
      <w:pPr>
        <w:rPr>
          <w:rFonts w:hint="eastAsia"/>
        </w:rPr>
      </w:pPr>
      <w:r>
        <w:rPr>
          <w:noProof/>
        </w:rPr>
        <w:drawing>
          <wp:inline distT="0" distB="0" distL="0" distR="0" wp14:anchorId="28931F05" wp14:editId="2F19C3C8">
            <wp:extent cx="5943600" cy="5094605"/>
            <wp:effectExtent l="0" t="0" r="0" b="0"/>
            <wp:docPr id="797109130" name="Picture 6" descr="A graph of different sizes and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09130" name="Picture 6" descr="A graph of different sizes and colo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8955" w14:textId="33E9D7AC" w:rsidR="003B1932" w:rsidRPr="004E5679" w:rsidRDefault="003B1932" w:rsidP="00B14FDE">
      <w:r w:rsidRPr="003B1932">
        <w:rPr>
          <w:b/>
          <w:bCs/>
        </w:rPr>
        <w:t xml:space="preserve">Figure. </w:t>
      </w:r>
      <w:r w:rsidRPr="003B1932">
        <w:t xml:space="preserve">Panel A shows the effect of CRNs (left: No CRNs; right: CRNs) on model outputs through runs with varying RR of ASCVD. Panel B shows the convergence progress (left: No CRNs; right: CRNs) for both strategies with varying sample size. </w:t>
      </w:r>
    </w:p>
    <w:sectPr w:rsidR="003B1932" w:rsidRPr="004E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DE"/>
    <w:rsid w:val="00000CE0"/>
    <w:rsid w:val="000D54F4"/>
    <w:rsid w:val="001052CF"/>
    <w:rsid w:val="00111A07"/>
    <w:rsid w:val="00135EA6"/>
    <w:rsid w:val="00155D30"/>
    <w:rsid w:val="001819DF"/>
    <w:rsid w:val="00192579"/>
    <w:rsid w:val="001B684C"/>
    <w:rsid w:val="001D6428"/>
    <w:rsid w:val="00260DAE"/>
    <w:rsid w:val="002E2AC2"/>
    <w:rsid w:val="002E4C21"/>
    <w:rsid w:val="0031166B"/>
    <w:rsid w:val="00326161"/>
    <w:rsid w:val="00327A45"/>
    <w:rsid w:val="0035742C"/>
    <w:rsid w:val="003914C5"/>
    <w:rsid w:val="003A7D41"/>
    <w:rsid w:val="003B1932"/>
    <w:rsid w:val="00401FDA"/>
    <w:rsid w:val="00492310"/>
    <w:rsid w:val="004E5679"/>
    <w:rsid w:val="00507727"/>
    <w:rsid w:val="00517DBF"/>
    <w:rsid w:val="00520712"/>
    <w:rsid w:val="00571FC7"/>
    <w:rsid w:val="005A0F99"/>
    <w:rsid w:val="005B6AB6"/>
    <w:rsid w:val="005F558B"/>
    <w:rsid w:val="0067119C"/>
    <w:rsid w:val="00693C91"/>
    <w:rsid w:val="006A18E0"/>
    <w:rsid w:val="007214C6"/>
    <w:rsid w:val="00766638"/>
    <w:rsid w:val="00792D52"/>
    <w:rsid w:val="00795705"/>
    <w:rsid w:val="007D7DBA"/>
    <w:rsid w:val="00872738"/>
    <w:rsid w:val="008A1AC5"/>
    <w:rsid w:val="00905CC1"/>
    <w:rsid w:val="00926379"/>
    <w:rsid w:val="009465A8"/>
    <w:rsid w:val="00965203"/>
    <w:rsid w:val="0099170A"/>
    <w:rsid w:val="00A51438"/>
    <w:rsid w:val="00AF2932"/>
    <w:rsid w:val="00B04F6A"/>
    <w:rsid w:val="00B14FDE"/>
    <w:rsid w:val="00B23C54"/>
    <w:rsid w:val="00B42D9A"/>
    <w:rsid w:val="00B63080"/>
    <w:rsid w:val="00B7017A"/>
    <w:rsid w:val="00BD40D3"/>
    <w:rsid w:val="00C92A83"/>
    <w:rsid w:val="00CC19D7"/>
    <w:rsid w:val="00CE70E5"/>
    <w:rsid w:val="00D22EA9"/>
    <w:rsid w:val="00D2600E"/>
    <w:rsid w:val="00D400A8"/>
    <w:rsid w:val="00D51C69"/>
    <w:rsid w:val="00D622B8"/>
    <w:rsid w:val="00D821E5"/>
    <w:rsid w:val="00D84365"/>
    <w:rsid w:val="00DC6235"/>
    <w:rsid w:val="00E556C8"/>
    <w:rsid w:val="00E84430"/>
    <w:rsid w:val="00EB0E11"/>
    <w:rsid w:val="00EC3744"/>
    <w:rsid w:val="00EC51C6"/>
    <w:rsid w:val="00EC6007"/>
    <w:rsid w:val="00ED558E"/>
    <w:rsid w:val="00F06960"/>
    <w:rsid w:val="00F7439E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40509"/>
  <w15:chartTrackingRefBased/>
  <w15:docId w15:val="{6E789A14-780C-564F-B1E9-A62DBF30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4F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Hanxuan</dc:creator>
  <cp:keywords/>
  <dc:description/>
  <cp:lastModifiedBy>Yu, Hanxuan A</cp:lastModifiedBy>
  <cp:revision>3</cp:revision>
  <dcterms:created xsi:type="dcterms:W3CDTF">2023-07-09T20:57:00Z</dcterms:created>
  <dcterms:modified xsi:type="dcterms:W3CDTF">2023-07-09T22:55:00Z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2023-07-09T21:13:13Z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ffb50f13-e79f-42d0-b223-78f463d564d2</vt:lpwstr>
  </property>
  <property fmtid="{D5CDD505-2E9C-101B-9397-08002B2CF9AE}" pid="8" name="MSIP_Label_792c8cef-6f2b-4af1-b4ac-d815ff795cd6_ContentBits">
    <vt:lpwstr>0</vt:lpwstr>
  </property>
</Properties>
</file>