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ECA4" w14:textId="3D5E7842" w:rsidR="00EC6007" w:rsidRPr="00B14FDE" w:rsidRDefault="0092535B">
      <w:pPr>
        <w:rPr>
          <w:rFonts w:ascii="Calibri" w:eastAsia="Times New Roman" w:hAnsi="Calibri" w:cs="Times New Roman"/>
          <w:b/>
          <w:bCs/>
          <w:color w:val="000000" w:themeColor="text1"/>
          <w:kern w:val="0"/>
          <w14:ligatures w14:val="none"/>
        </w:rPr>
      </w:pPr>
      <w:r w:rsidRPr="0092535B">
        <w:rPr>
          <w:rFonts w:ascii="Calibri" w:eastAsia="Times New Roman" w:hAnsi="Calibri" w:cs="Times New Roman"/>
          <w:b/>
          <w:bCs/>
          <w:color w:val="000000" w:themeColor="text1"/>
          <w:kern w:val="0"/>
          <w14:ligatures w14:val="none"/>
        </w:rPr>
        <w:t xml:space="preserve">Common Random Numbers in Discrete Event Simulation for Disease Modeling: A </w:t>
      </w:r>
      <w:r>
        <w:rPr>
          <w:rFonts w:ascii="Calibri" w:eastAsia="Times New Roman" w:hAnsi="Calibri" w:cs="Times New Roman"/>
          <w:b/>
          <w:bCs/>
          <w:color w:val="000000" w:themeColor="text1"/>
          <w:kern w:val="0"/>
          <w14:ligatures w14:val="none"/>
        </w:rPr>
        <w:t>Statin Treatment Case Study</w:t>
      </w:r>
    </w:p>
    <w:p w14:paraId="0577D38F" w14:textId="77777777" w:rsidR="00B14FDE" w:rsidRDefault="00B14FDE"/>
    <w:p w14:paraId="342587B7" w14:textId="5CB64948" w:rsidR="00B14FDE" w:rsidRDefault="00B14FDE">
      <w:proofErr w:type="spellStart"/>
      <w:r>
        <w:t>Hanxuan</w:t>
      </w:r>
      <w:proofErr w:type="spellEnd"/>
      <w:r>
        <w:t xml:space="preserve"> Yu</w:t>
      </w:r>
      <w:r w:rsidRPr="00B14FDE">
        <w:rPr>
          <w:vertAlign w:val="superscript"/>
        </w:rPr>
        <w:t>1</w:t>
      </w:r>
      <w:r>
        <w:t>, John Graves</w:t>
      </w:r>
      <w:r w:rsidRPr="00B14FDE">
        <w:rPr>
          <w:vertAlign w:val="superscript"/>
        </w:rPr>
        <w:t>1</w:t>
      </w:r>
      <w:r>
        <w:t>, Shawn Garbett</w:t>
      </w:r>
      <w:r>
        <w:rPr>
          <w:vertAlign w:val="superscript"/>
        </w:rPr>
        <w:t>2</w:t>
      </w:r>
      <w:r>
        <w:t xml:space="preserve">, Ashley </w:t>
      </w:r>
      <w:r w:rsidR="00E66F1B">
        <w:rPr>
          <w:rFonts w:hint="eastAsia"/>
        </w:rPr>
        <w:t>A</w:t>
      </w:r>
      <w:r w:rsidR="00E66F1B">
        <w:t xml:space="preserve">. </w:t>
      </w:r>
      <w:r>
        <w:t>Leech</w:t>
      </w:r>
      <w:r w:rsidRPr="00B14FDE">
        <w:rPr>
          <w:vertAlign w:val="superscript"/>
        </w:rPr>
        <w:t>1</w:t>
      </w:r>
      <w:r>
        <w:t xml:space="preserve">, </w:t>
      </w:r>
      <w:proofErr w:type="spellStart"/>
      <w:r>
        <w:t>Jinyi</w:t>
      </w:r>
      <w:proofErr w:type="spellEnd"/>
      <w:r>
        <w:t xml:space="preserve"> Zhu</w:t>
      </w:r>
      <w:r w:rsidRPr="00B14FDE">
        <w:rPr>
          <w:vertAlign w:val="superscript"/>
        </w:rPr>
        <w:t>1</w:t>
      </w:r>
    </w:p>
    <w:p w14:paraId="4AEF5892" w14:textId="77777777" w:rsidR="00B14FDE" w:rsidRDefault="00B14FDE"/>
    <w:p w14:paraId="5091C516" w14:textId="77777777" w:rsidR="00B14FDE" w:rsidRPr="0050688B" w:rsidRDefault="00B14FDE" w:rsidP="00B14FDE">
      <w:pPr>
        <w:rPr>
          <w:rFonts w:ascii="Calibri" w:hAnsi="Calibri" w:cs="Calibri"/>
          <w:i/>
          <w:iCs/>
          <w:color w:val="000000" w:themeColor="text1"/>
        </w:rPr>
      </w:pPr>
      <w:r w:rsidRPr="0050688B">
        <w:rPr>
          <w:rFonts w:ascii="Calibri" w:hAnsi="Calibri" w:cs="Calibri"/>
          <w:i/>
          <w:iCs/>
          <w:color w:val="000000" w:themeColor="text1"/>
        </w:rPr>
        <w:t xml:space="preserve">Affiliations: </w:t>
      </w:r>
    </w:p>
    <w:p w14:paraId="0342CED0" w14:textId="77777777" w:rsidR="00B14FDE" w:rsidRDefault="00B14FDE" w:rsidP="00B14FDE">
      <w:pPr>
        <w:rPr>
          <w:rFonts w:ascii="Calibri" w:hAnsi="Calibri" w:cs="Calibri"/>
          <w:i/>
          <w:iCs/>
          <w:color w:val="000000" w:themeColor="text1"/>
          <w:shd w:val="clear" w:color="auto" w:fill="FFFFFF"/>
        </w:rPr>
      </w:pPr>
      <w:r w:rsidRPr="0050688B">
        <w:rPr>
          <w:rFonts w:ascii="Calibri" w:hAnsi="Calibri" w:cs="Calibri"/>
          <w:i/>
          <w:iCs/>
          <w:color w:val="000000" w:themeColor="text1"/>
          <w:vertAlign w:val="superscript"/>
        </w:rPr>
        <w:t>1</w:t>
      </w:r>
      <w:r w:rsidRPr="0050688B">
        <w:rPr>
          <w:rFonts w:ascii="Calibri" w:hAnsi="Calibri" w:cs="Calibri"/>
          <w:i/>
          <w:iCs/>
          <w:color w:val="000000" w:themeColor="text1"/>
          <w:shd w:val="clear" w:color="auto" w:fill="FFFFFF"/>
        </w:rPr>
        <w:t>Department of Health Policy, Vanderbilt University School of Medicine, Nashville, TN</w:t>
      </w:r>
    </w:p>
    <w:p w14:paraId="447AEFDA" w14:textId="15E34A38" w:rsidR="00B14FDE" w:rsidRPr="0050688B" w:rsidRDefault="00B14FDE" w:rsidP="00B14FDE">
      <w:pPr>
        <w:rPr>
          <w:rFonts w:ascii="Calibri" w:hAnsi="Calibri" w:cs="Calibri"/>
          <w:i/>
          <w:iCs/>
          <w:color w:val="000000" w:themeColor="text1"/>
          <w:shd w:val="clear" w:color="auto" w:fill="FFFFFF"/>
        </w:rPr>
      </w:pPr>
      <w:r>
        <w:rPr>
          <w:rFonts w:ascii="Calibri" w:hAnsi="Calibri" w:cs="Calibri"/>
          <w:i/>
          <w:iCs/>
          <w:color w:val="000000" w:themeColor="text1"/>
          <w:vertAlign w:val="superscript"/>
        </w:rPr>
        <w:t>2</w:t>
      </w:r>
      <w:r w:rsidRPr="0050688B">
        <w:rPr>
          <w:rFonts w:ascii="Calibri" w:hAnsi="Calibri" w:cs="Calibri"/>
          <w:i/>
          <w:iCs/>
          <w:color w:val="000000" w:themeColor="text1"/>
          <w:shd w:val="clear" w:color="auto" w:fill="FFFFFF"/>
        </w:rPr>
        <w:t xml:space="preserve">Department of </w:t>
      </w:r>
      <w:r>
        <w:rPr>
          <w:rFonts w:ascii="Calibri" w:hAnsi="Calibri" w:cs="Calibri"/>
          <w:i/>
          <w:iCs/>
          <w:color w:val="000000" w:themeColor="text1"/>
          <w:shd w:val="clear" w:color="auto" w:fill="FFFFFF"/>
        </w:rPr>
        <w:t>Biostatistics</w:t>
      </w:r>
      <w:r w:rsidRPr="0050688B">
        <w:rPr>
          <w:rFonts w:ascii="Calibri" w:hAnsi="Calibri" w:cs="Calibri"/>
          <w:i/>
          <w:iCs/>
          <w:color w:val="000000" w:themeColor="text1"/>
          <w:shd w:val="clear" w:color="auto" w:fill="FFFFFF"/>
        </w:rPr>
        <w:t>, Vanderbilt University School of Medicine, Nashville, TN</w:t>
      </w:r>
    </w:p>
    <w:p w14:paraId="70C855D5" w14:textId="77777777" w:rsidR="00B14FDE" w:rsidRDefault="00B14FDE"/>
    <w:p w14:paraId="66CED08C" w14:textId="53206AE0" w:rsidR="00B14FDE" w:rsidRPr="0050688B" w:rsidRDefault="00B14FDE" w:rsidP="00B14FDE">
      <w:pPr>
        <w:pStyle w:val="NormalWeb"/>
        <w:spacing w:before="0" w:beforeAutospacing="0" w:after="200" w:afterAutospacing="0"/>
        <w:rPr>
          <w:rFonts w:ascii="Calibri" w:hAnsi="Calibri"/>
          <w:color w:val="000000" w:themeColor="text1"/>
        </w:rPr>
      </w:pPr>
      <w:r w:rsidRPr="0050688B">
        <w:rPr>
          <w:rFonts w:ascii="Calibri" w:hAnsi="Calibri"/>
          <w:b/>
          <w:color w:val="000000" w:themeColor="text1"/>
        </w:rPr>
        <w:t>Word count</w:t>
      </w:r>
      <w:r w:rsidRPr="0050688B">
        <w:rPr>
          <w:rFonts w:ascii="Calibri" w:hAnsi="Calibri"/>
          <w:color w:val="000000" w:themeColor="text1"/>
        </w:rPr>
        <w:t xml:space="preserve">: </w:t>
      </w:r>
      <w:r w:rsidR="003E6B2F">
        <w:rPr>
          <w:rFonts w:ascii="Calibri" w:hAnsi="Calibri"/>
          <w:color w:val="000000" w:themeColor="text1"/>
        </w:rPr>
        <w:t>375</w:t>
      </w:r>
      <w:r w:rsidRPr="0050688B">
        <w:rPr>
          <w:rFonts w:ascii="Calibri" w:hAnsi="Calibri"/>
          <w:color w:val="000000" w:themeColor="text1"/>
        </w:rPr>
        <w:t xml:space="preserve"> out of 375</w:t>
      </w:r>
    </w:p>
    <w:p w14:paraId="030C9E3F" w14:textId="77777777" w:rsidR="00B14FDE" w:rsidRPr="0050688B" w:rsidRDefault="00B14FDE" w:rsidP="00B14FDE">
      <w:pPr>
        <w:pStyle w:val="NormalWeb"/>
        <w:spacing w:after="200"/>
        <w:rPr>
          <w:rFonts w:ascii="Calibri" w:hAnsi="Calibri"/>
          <w:color w:val="000000" w:themeColor="text1"/>
        </w:rPr>
      </w:pPr>
      <w:r w:rsidRPr="0050688B">
        <w:rPr>
          <w:rFonts w:ascii="Calibri" w:hAnsi="Calibri"/>
          <w:b/>
          <w:bCs/>
          <w:color w:val="000000" w:themeColor="text1"/>
        </w:rPr>
        <w:t>Submission Category:</w:t>
      </w:r>
      <w:r w:rsidRPr="0050688B">
        <w:rPr>
          <w:rFonts w:ascii="Calibri" w:hAnsi="Calibri"/>
          <w:color w:val="000000" w:themeColor="text1"/>
        </w:rPr>
        <w:t xml:space="preserve"> Quantitative Methods and Theoretical Developments (QMTD)</w:t>
      </w:r>
    </w:p>
    <w:p w14:paraId="457F28A9" w14:textId="17FC656E" w:rsidR="00B14FDE" w:rsidRDefault="00B14FDE">
      <w:r w:rsidRPr="00B14FDE">
        <w:rPr>
          <w:rFonts w:ascii="Calibri" w:eastAsia="Times New Roman" w:hAnsi="Calibri" w:cs="Calibri"/>
          <w:b/>
          <w:bCs/>
          <w:kern w:val="0"/>
          <w14:ligatures w14:val="none"/>
        </w:rPr>
        <w:t>Purpose:</w:t>
      </w:r>
      <w:r w:rsidRPr="00B14FDE">
        <w:t xml:space="preserve"> </w:t>
      </w:r>
      <w:r w:rsidR="00914053" w:rsidRPr="00914053">
        <w:t xml:space="preserve">Disease simulation techniques, notably microsimulation and discrete event simulation (DES) models, often </w:t>
      </w:r>
      <w:r w:rsidR="00914053">
        <w:t>are challenged</w:t>
      </w:r>
      <w:r w:rsidR="00914053" w:rsidRPr="00914053">
        <w:t xml:space="preserve"> with stochastic noise. This noise can mask true differences between strategies and increase both time and resource costs. </w:t>
      </w:r>
      <w:r w:rsidR="00045104" w:rsidRPr="00045104">
        <w:t>Despite the extensive application of Common Random Numbers (CRNs), a variance reduction technique, in microsimulation models, their use in DES for disease modeling remains under-explored.</w:t>
      </w:r>
      <w:r w:rsidR="00045104">
        <w:t xml:space="preserve"> To our knowledge, n</w:t>
      </w:r>
      <w:r w:rsidR="00045104" w:rsidRPr="00045104">
        <w:t>o study has yet explicitly outlined the steps to incorporate CRNs into DES for disease modeling or quantified the resulting efficiency gains.</w:t>
      </w:r>
      <w:r w:rsidR="00045104">
        <w:t xml:space="preserve"> </w:t>
      </w:r>
      <w:r w:rsidR="00045104" w:rsidRPr="00045104">
        <w:t>We aim to bridge this research gap and demonstrate the benefits of CRNs in DES for disease modeling.</w:t>
      </w:r>
    </w:p>
    <w:p w14:paraId="15D16AFA" w14:textId="77777777" w:rsidR="00B14FDE" w:rsidRDefault="00B14FDE" w:rsidP="00B14FDE"/>
    <w:p w14:paraId="3F7A0512" w14:textId="51640A6D" w:rsidR="00FD4EF1" w:rsidRPr="00FD4EF1" w:rsidRDefault="00B14FDE" w:rsidP="00FD4EF1">
      <w:r w:rsidRPr="0050688B">
        <w:rPr>
          <w:rFonts w:ascii="Calibri" w:hAnsi="Calibri" w:cs="Calibri"/>
          <w:b/>
          <w:bCs/>
        </w:rPr>
        <w:t xml:space="preserve">Methods: </w:t>
      </w:r>
      <w:r w:rsidR="00FD4EF1">
        <w:t>We developed a DES model to evaluate the cost-effectiveness of statin treatment in people aged 40 to 80 in the US at risk of atherosclerotic cardiovascular disease (ASCVD) over a lifetime horizon.</w:t>
      </w:r>
      <w:r w:rsidR="00FD4EF1">
        <w:rPr>
          <w:rFonts w:ascii="Calibri" w:hAnsi="Calibri" w:cs="Calibri"/>
          <w:b/>
          <w:bCs/>
        </w:rPr>
        <w:t xml:space="preserve"> </w:t>
      </w:r>
      <w:r w:rsidR="00FD4EF1">
        <w:t>The model cohort was populated with the</w:t>
      </w:r>
      <w:r w:rsidR="00AE5E85" w:rsidRPr="00AE5E85">
        <w:t xml:space="preserve"> National Health and Nutrition Examination Survey</w:t>
      </w:r>
      <w:r w:rsidR="00FD4EF1">
        <w:t xml:space="preserve">, and parameters were informed from published literature. </w:t>
      </w:r>
      <w:r w:rsidR="00045104" w:rsidRPr="00045104">
        <w:t>We compared the incremental net health benefit (</w:t>
      </w:r>
      <w:proofErr w:type="spellStart"/>
      <w:r w:rsidR="00045104" w:rsidRPr="00045104">
        <w:t>iNHB</w:t>
      </w:r>
      <w:proofErr w:type="spellEnd"/>
      <w:r w:rsidR="00045104" w:rsidRPr="00045104">
        <w:t xml:space="preserve">) of statins under two scenarios – with and without the use of CRNs – across a broad range of model cohort sizes. </w:t>
      </w:r>
      <w:r w:rsidR="00FD4EF1">
        <w:t>To implement CRNs</w:t>
      </w:r>
      <w:r w:rsidR="00AE5E85" w:rsidRPr="00AE5E85">
        <w:t xml:space="preserve">, </w:t>
      </w:r>
      <w:r w:rsidR="00FD4EF1">
        <w:t>w</w:t>
      </w:r>
      <w:r w:rsidR="00FD4EF1" w:rsidRPr="00FD4EF1">
        <w:t xml:space="preserve">e assigned each potential event a patient-specific and event-specific random number that remained consistent across model runs to determine the event occurrence and time to event. Unique to DES, the use of CRNs in our model involved the inverse cumulative distribution function, which transformed CRNs (standard uniform random </w:t>
      </w:r>
      <w:r w:rsidR="00FD4EF1">
        <w:t>draws between 0 and 1</w:t>
      </w:r>
      <w:r w:rsidR="00FD4EF1" w:rsidRPr="00FD4EF1">
        <w:t>) into non-uniform quantiles</w:t>
      </w:r>
      <w:r w:rsidR="00FD4EF1">
        <w:t xml:space="preserve"> that </w:t>
      </w:r>
      <w:r w:rsidR="00045104">
        <w:t>were used to</w:t>
      </w:r>
      <w:r w:rsidR="00FD4EF1">
        <w:t xml:space="preserve"> </w:t>
      </w:r>
      <w:r w:rsidR="00045104">
        <w:t>represent</w:t>
      </w:r>
      <w:r w:rsidR="00FD4EF1" w:rsidRPr="00FD4EF1">
        <w:t xml:space="preserve"> time variables.</w:t>
      </w:r>
    </w:p>
    <w:p w14:paraId="504BA5C7" w14:textId="77777777" w:rsidR="00B14FDE" w:rsidRDefault="00B14FDE" w:rsidP="00B14FDE"/>
    <w:p w14:paraId="35562EE6" w14:textId="1DC2F980" w:rsidR="00AE5E85" w:rsidRPr="00156EA5" w:rsidRDefault="00B14FDE" w:rsidP="00B14FDE">
      <w:pPr>
        <w:rPr>
          <w:rFonts w:ascii="Calibri" w:hAnsi="Calibri" w:cs="Calibri"/>
          <w:b/>
          <w:bCs/>
        </w:rPr>
      </w:pPr>
      <w:r w:rsidRPr="0050688B">
        <w:rPr>
          <w:rFonts w:ascii="Calibri" w:hAnsi="Calibri" w:cs="Calibri"/>
          <w:b/>
          <w:bCs/>
        </w:rPr>
        <w:t>Results:</w:t>
      </w:r>
      <w:r w:rsidR="003A7D41">
        <w:rPr>
          <w:rFonts w:ascii="Calibri" w:hAnsi="Calibri" w:cs="Calibri"/>
          <w:b/>
          <w:bCs/>
        </w:rPr>
        <w:t xml:space="preserve"> </w:t>
      </w:r>
      <w:r w:rsidR="00045104" w:rsidRPr="00045104">
        <w:rPr>
          <w:rFonts w:ascii="Calibri" w:hAnsi="Calibri" w:cs="Calibri"/>
          <w:bCs/>
        </w:rPr>
        <w:t xml:space="preserve">Figure Panel A demonstrates that the use of CRNs led to a monotonic function in the model output, where a lower relative risk consistently resulted in a higher </w:t>
      </w:r>
      <w:proofErr w:type="spellStart"/>
      <w:r w:rsidR="00045104" w:rsidRPr="00045104">
        <w:rPr>
          <w:rFonts w:ascii="Calibri" w:hAnsi="Calibri" w:cs="Calibri"/>
          <w:bCs/>
        </w:rPr>
        <w:t>iNHB</w:t>
      </w:r>
      <w:proofErr w:type="spellEnd"/>
      <w:r w:rsidR="00045104" w:rsidRPr="00045104">
        <w:rPr>
          <w:rFonts w:ascii="Calibri" w:hAnsi="Calibri" w:cs="Calibri"/>
          <w:bCs/>
        </w:rPr>
        <w:t xml:space="preserve"> of statins, effectively reducing noise</w:t>
      </w:r>
      <w:r w:rsidR="00045104">
        <w:rPr>
          <w:rFonts w:ascii="Calibri" w:hAnsi="Calibri" w:cs="Calibri"/>
          <w:bCs/>
        </w:rPr>
        <w:t>.</w:t>
      </w:r>
      <w:r w:rsidR="00F96352" w:rsidRPr="00F96352">
        <w:rPr>
          <w:rFonts w:ascii="Calibri" w:hAnsi="Calibri" w:cs="Calibri"/>
          <w:bCs/>
        </w:rPr>
        <w:t xml:space="preserve"> Panel B indicates that integrating CRNs within DES resulted in faster stabilization of the model-estimated </w:t>
      </w:r>
      <w:proofErr w:type="spellStart"/>
      <w:r w:rsidR="00156EA5">
        <w:rPr>
          <w:rFonts w:ascii="Calibri" w:hAnsi="Calibri" w:cs="Calibri"/>
          <w:bCs/>
        </w:rPr>
        <w:t>iNHB</w:t>
      </w:r>
      <w:proofErr w:type="spellEnd"/>
      <w:r w:rsidR="00F96352" w:rsidRPr="00F96352">
        <w:rPr>
          <w:rFonts w:ascii="Calibri" w:hAnsi="Calibri" w:cs="Calibri"/>
          <w:bCs/>
        </w:rPr>
        <w:t xml:space="preserve"> around the true value with smaller sample sizes, thereby enhancing efficiency.</w:t>
      </w:r>
    </w:p>
    <w:p w14:paraId="03ED1146" w14:textId="77777777" w:rsidR="00492310" w:rsidRDefault="00492310" w:rsidP="00B14FDE"/>
    <w:p w14:paraId="35FEA5B5" w14:textId="455119FB" w:rsidR="004E5679" w:rsidRPr="00156EA5" w:rsidRDefault="003A7D41" w:rsidP="00B14FDE">
      <w:pPr>
        <w:rPr>
          <w:rFonts w:ascii="Calibri" w:hAnsi="Calibri" w:cs="Calibri"/>
          <w:b/>
          <w:bCs/>
        </w:rPr>
      </w:pPr>
      <w:r w:rsidRPr="0050688B">
        <w:rPr>
          <w:rFonts w:ascii="Calibri" w:hAnsi="Calibri" w:cs="Calibri"/>
          <w:b/>
          <w:bCs/>
        </w:rPr>
        <w:t>Conclusion:</w:t>
      </w:r>
      <w:r w:rsidR="00045104">
        <w:rPr>
          <w:rFonts w:ascii="Calibri" w:hAnsi="Calibri" w:cs="Calibri"/>
        </w:rPr>
        <w:t xml:space="preserve"> </w:t>
      </w:r>
      <w:r w:rsidR="00914053">
        <w:rPr>
          <w:rFonts w:ascii="Calibri" w:hAnsi="Calibri" w:cs="Calibri"/>
        </w:rPr>
        <w:t xml:space="preserve">Previous studies have established DES </w:t>
      </w:r>
      <w:r w:rsidR="00045104" w:rsidRPr="00045104">
        <w:rPr>
          <w:rFonts w:ascii="Calibri" w:hAnsi="Calibri" w:cs="Calibri"/>
        </w:rPr>
        <w:t>as a more efficient alternative to microsimulation for disease simulation modeling. Our findings reinforce this advantage, suggesting that when DES is further augmented with CRNs, it can achieve even greater efficiency.</w:t>
      </w:r>
      <w:r w:rsidR="00D609DD" w:rsidRPr="00D609DD">
        <w:rPr>
          <w:rFonts w:ascii="Calibri" w:hAnsi="Calibri" w:cs="Calibri"/>
        </w:rPr>
        <w:t xml:space="preserve"> </w:t>
      </w:r>
      <w:r w:rsidR="00890DE1">
        <w:rPr>
          <w:rFonts w:ascii="Calibri" w:hAnsi="Calibri" w:cs="Calibri"/>
        </w:rPr>
        <w:t>With</w:t>
      </w:r>
      <w:r w:rsidR="002A2797">
        <w:rPr>
          <w:rFonts w:ascii="Calibri" w:hAnsi="Calibri" w:cs="Calibri"/>
        </w:rPr>
        <w:t xml:space="preserve"> </w:t>
      </w:r>
      <w:r w:rsidR="002A2797" w:rsidRPr="00D609DD">
        <w:rPr>
          <w:rFonts w:ascii="Calibri" w:hAnsi="Calibri" w:cs="Calibri"/>
        </w:rPr>
        <w:t>less stochastic noise</w:t>
      </w:r>
      <w:r w:rsidR="002A2797">
        <w:rPr>
          <w:rFonts w:ascii="Calibri" w:hAnsi="Calibri" w:cs="Calibri"/>
        </w:rPr>
        <w:t xml:space="preserve"> and</w:t>
      </w:r>
      <w:r w:rsidR="00890DE1" w:rsidRPr="00D609DD">
        <w:rPr>
          <w:rFonts w:ascii="Calibri" w:hAnsi="Calibri" w:cs="Calibri"/>
        </w:rPr>
        <w:t xml:space="preserve"> faster convergence,</w:t>
      </w:r>
      <w:r w:rsidR="00890DE1">
        <w:rPr>
          <w:rFonts w:ascii="Calibri" w:hAnsi="Calibri" w:cs="Calibri"/>
        </w:rPr>
        <w:t xml:space="preserve"> t</w:t>
      </w:r>
      <w:r w:rsidR="00D609DD" w:rsidRPr="00D609DD">
        <w:rPr>
          <w:rFonts w:ascii="Calibri" w:hAnsi="Calibri" w:cs="Calibri"/>
        </w:rPr>
        <w:t>h</w:t>
      </w:r>
      <w:r w:rsidR="00890DE1">
        <w:rPr>
          <w:rFonts w:ascii="Calibri" w:hAnsi="Calibri" w:cs="Calibri"/>
        </w:rPr>
        <w:t>is</w:t>
      </w:r>
      <w:r w:rsidR="00D609DD" w:rsidRPr="00D609DD">
        <w:rPr>
          <w:rFonts w:ascii="Calibri" w:hAnsi="Calibri" w:cs="Calibri"/>
        </w:rPr>
        <w:t xml:space="preserve"> increased efficiency</w:t>
      </w:r>
      <w:r w:rsidR="00FD4EF1">
        <w:rPr>
          <w:rFonts w:ascii="Calibri" w:hAnsi="Calibri" w:cs="Calibri"/>
        </w:rPr>
        <w:t xml:space="preserve"> can</w:t>
      </w:r>
      <w:r w:rsidR="00D609DD" w:rsidRPr="00D609DD">
        <w:rPr>
          <w:rFonts w:ascii="Calibri" w:hAnsi="Calibri" w:cs="Calibri"/>
        </w:rPr>
        <w:t xml:space="preserve"> </w:t>
      </w:r>
      <w:r w:rsidR="00890DE1">
        <w:rPr>
          <w:rFonts w:ascii="Calibri" w:hAnsi="Calibri" w:cs="Calibri"/>
        </w:rPr>
        <w:lastRenderedPageBreak/>
        <w:t xml:space="preserve">enable </w:t>
      </w:r>
      <w:r w:rsidR="00D609DD" w:rsidRPr="00D609DD">
        <w:rPr>
          <w:rFonts w:ascii="Calibri" w:hAnsi="Calibri" w:cs="Calibri"/>
        </w:rPr>
        <w:t>more computationally intensive tasks</w:t>
      </w:r>
      <w:r w:rsidR="00045104">
        <w:rPr>
          <w:rFonts w:ascii="Calibri" w:hAnsi="Calibri" w:cs="Calibri"/>
        </w:rPr>
        <w:t>,</w:t>
      </w:r>
      <w:r w:rsidR="00156EA5">
        <w:rPr>
          <w:rFonts w:ascii="Calibri" w:hAnsi="Calibri" w:cs="Calibri"/>
        </w:rPr>
        <w:t xml:space="preserve"> such as</w:t>
      </w:r>
      <w:r w:rsidR="00D609DD" w:rsidRPr="00D609DD">
        <w:rPr>
          <w:rFonts w:ascii="Calibri" w:hAnsi="Calibri" w:cs="Calibri"/>
        </w:rPr>
        <w:t xml:space="preserve"> probabilistic sensitivity analysis, model calibration, and value of information analysis</w:t>
      </w:r>
      <w:r w:rsidR="00D609DD">
        <w:rPr>
          <w:rFonts w:ascii="Calibri" w:hAnsi="Calibri" w:cs="Calibri"/>
        </w:rPr>
        <w:t>.</w:t>
      </w:r>
    </w:p>
    <w:p w14:paraId="22471CF8" w14:textId="77777777" w:rsidR="003B1932" w:rsidRDefault="003B1932" w:rsidP="00B14FDE">
      <w:pPr>
        <w:rPr>
          <w:rFonts w:ascii="Calibri" w:hAnsi="Calibri" w:cs="Calibri"/>
        </w:rPr>
      </w:pPr>
    </w:p>
    <w:p w14:paraId="59ED8955" w14:textId="165E9AC1" w:rsidR="003B1932" w:rsidRPr="004E5679" w:rsidRDefault="003B1932" w:rsidP="00B14FDE">
      <w:r w:rsidRPr="003B1932">
        <w:t xml:space="preserve"> </w:t>
      </w:r>
      <w:r w:rsidR="00001038">
        <w:rPr>
          <w:noProof/>
        </w:rPr>
        <w:drawing>
          <wp:inline distT="0" distB="0" distL="0" distR="0" wp14:anchorId="4663AAFD" wp14:editId="71604049">
            <wp:extent cx="5943600" cy="7217410"/>
            <wp:effectExtent l="0" t="0" r="0" b="0"/>
            <wp:docPr id="164890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00557" name="Picture 1648900557"/>
                    <pic:cNvPicPr/>
                  </pic:nvPicPr>
                  <pic:blipFill>
                    <a:blip r:embed="rId4">
                      <a:extLst>
                        <a:ext uri="{28A0092B-C50C-407E-A947-70E740481C1C}">
                          <a14:useLocalDpi xmlns:a14="http://schemas.microsoft.com/office/drawing/2010/main" val="0"/>
                        </a:ext>
                      </a:extLst>
                    </a:blip>
                    <a:stretch>
                      <a:fillRect/>
                    </a:stretch>
                  </pic:blipFill>
                  <pic:spPr>
                    <a:xfrm>
                      <a:off x="0" y="0"/>
                      <a:ext cx="5943600" cy="7217410"/>
                    </a:xfrm>
                    <a:prstGeom prst="rect">
                      <a:avLst/>
                    </a:prstGeom>
                  </pic:spPr>
                </pic:pic>
              </a:graphicData>
            </a:graphic>
          </wp:inline>
        </w:drawing>
      </w:r>
    </w:p>
    <w:sectPr w:rsidR="003B1932" w:rsidRPr="004E5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DE"/>
    <w:rsid w:val="00000CE0"/>
    <w:rsid w:val="00001038"/>
    <w:rsid w:val="00045104"/>
    <w:rsid w:val="0006447A"/>
    <w:rsid w:val="000D54F4"/>
    <w:rsid w:val="001052CF"/>
    <w:rsid w:val="00111A07"/>
    <w:rsid w:val="00135EA6"/>
    <w:rsid w:val="00155D30"/>
    <w:rsid w:val="00156EA5"/>
    <w:rsid w:val="001819DF"/>
    <w:rsid w:val="00192579"/>
    <w:rsid w:val="001A38DB"/>
    <w:rsid w:val="001B684C"/>
    <w:rsid w:val="001D6428"/>
    <w:rsid w:val="001F5060"/>
    <w:rsid w:val="00260DAE"/>
    <w:rsid w:val="002A2797"/>
    <w:rsid w:val="002E2AC2"/>
    <w:rsid w:val="002E4C21"/>
    <w:rsid w:val="002E7D70"/>
    <w:rsid w:val="0031166B"/>
    <w:rsid w:val="00326161"/>
    <w:rsid w:val="00327A45"/>
    <w:rsid w:val="003361AF"/>
    <w:rsid w:val="0035742C"/>
    <w:rsid w:val="003914C5"/>
    <w:rsid w:val="003A7D41"/>
    <w:rsid w:val="003B1932"/>
    <w:rsid w:val="003E6B2F"/>
    <w:rsid w:val="00401FDA"/>
    <w:rsid w:val="00492310"/>
    <w:rsid w:val="004E5679"/>
    <w:rsid w:val="00507727"/>
    <w:rsid w:val="00517DBF"/>
    <w:rsid w:val="00520712"/>
    <w:rsid w:val="00535DAF"/>
    <w:rsid w:val="00571FC7"/>
    <w:rsid w:val="0057548F"/>
    <w:rsid w:val="005A0F99"/>
    <w:rsid w:val="005B6AB6"/>
    <w:rsid w:val="005F558B"/>
    <w:rsid w:val="0067119C"/>
    <w:rsid w:val="00693C91"/>
    <w:rsid w:val="006A18E0"/>
    <w:rsid w:val="007214C6"/>
    <w:rsid w:val="00766638"/>
    <w:rsid w:val="00792D52"/>
    <w:rsid w:val="00795705"/>
    <w:rsid w:val="007D7DBA"/>
    <w:rsid w:val="0083587E"/>
    <w:rsid w:val="00872738"/>
    <w:rsid w:val="00890DE1"/>
    <w:rsid w:val="008A1AC5"/>
    <w:rsid w:val="00905CC1"/>
    <w:rsid w:val="00914053"/>
    <w:rsid w:val="0092535B"/>
    <w:rsid w:val="00926379"/>
    <w:rsid w:val="009465A8"/>
    <w:rsid w:val="00965203"/>
    <w:rsid w:val="0099170A"/>
    <w:rsid w:val="00A51438"/>
    <w:rsid w:val="00AE5E85"/>
    <w:rsid w:val="00AF2932"/>
    <w:rsid w:val="00B04F6A"/>
    <w:rsid w:val="00B14FDE"/>
    <w:rsid w:val="00B23C54"/>
    <w:rsid w:val="00B30777"/>
    <w:rsid w:val="00B42D9A"/>
    <w:rsid w:val="00B63080"/>
    <w:rsid w:val="00B7017A"/>
    <w:rsid w:val="00BD40D3"/>
    <w:rsid w:val="00C1629C"/>
    <w:rsid w:val="00C74F8E"/>
    <w:rsid w:val="00C92A83"/>
    <w:rsid w:val="00CC19D7"/>
    <w:rsid w:val="00CE70E5"/>
    <w:rsid w:val="00D22EA9"/>
    <w:rsid w:val="00D2600E"/>
    <w:rsid w:val="00D400A8"/>
    <w:rsid w:val="00D51C69"/>
    <w:rsid w:val="00D609DD"/>
    <w:rsid w:val="00D622B8"/>
    <w:rsid w:val="00D821E5"/>
    <w:rsid w:val="00D84365"/>
    <w:rsid w:val="00DA4E09"/>
    <w:rsid w:val="00DC6235"/>
    <w:rsid w:val="00E556C8"/>
    <w:rsid w:val="00E66F1B"/>
    <w:rsid w:val="00E71597"/>
    <w:rsid w:val="00E84430"/>
    <w:rsid w:val="00EB0E11"/>
    <w:rsid w:val="00EC3744"/>
    <w:rsid w:val="00EC51C6"/>
    <w:rsid w:val="00EC6007"/>
    <w:rsid w:val="00ED558E"/>
    <w:rsid w:val="00F06960"/>
    <w:rsid w:val="00F7439E"/>
    <w:rsid w:val="00F96352"/>
    <w:rsid w:val="00FC4FCD"/>
    <w:rsid w:val="00FD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40509"/>
  <w15:chartTrackingRefBased/>
  <w15:docId w15:val="{6E789A14-780C-564F-B1E9-A62DBF30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4FDE"/>
    <w:pPr>
      <w:spacing w:before="100" w:beforeAutospacing="1" w:after="100" w:afterAutospacing="1"/>
    </w:pPr>
    <w:rPr>
      <w:rFonts w:ascii="Times New Roman" w:eastAsia="Times New Roman" w:hAnsi="Times New Roman" w:cs="Times New Roman"/>
      <w:kern w:val="0"/>
      <w:lang w:eastAsia="en-US"/>
      <w14:ligatures w14:val="none"/>
    </w:rPr>
  </w:style>
  <w:style w:type="paragraph" w:styleId="Revision">
    <w:name w:val="Revision"/>
    <w:hidden/>
    <w:uiPriority w:val="99"/>
    <w:semiHidden/>
    <w:rsid w:val="00D60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32111">
      <w:bodyDiv w:val="1"/>
      <w:marLeft w:val="0"/>
      <w:marRight w:val="0"/>
      <w:marTop w:val="0"/>
      <w:marBottom w:val="0"/>
      <w:divBdr>
        <w:top w:val="none" w:sz="0" w:space="0" w:color="auto"/>
        <w:left w:val="none" w:sz="0" w:space="0" w:color="auto"/>
        <w:bottom w:val="none" w:sz="0" w:space="0" w:color="auto"/>
        <w:right w:val="none" w:sz="0" w:space="0" w:color="auto"/>
      </w:divBdr>
    </w:div>
    <w:div w:id="185500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Hanxuan</dc:creator>
  <cp:keywords/>
  <dc:description/>
  <cp:lastModifiedBy>Yu, Hanxuan</cp:lastModifiedBy>
  <cp:revision>3</cp:revision>
  <dcterms:created xsi:type="dcterms:W3CDTF">2023-07-10T03:13:00Z</dcterms:created>
  <dcterms:modified xsi:type="dcterms:W3CDTF">2023-07-11T13:34:00Z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2023-07-09T21:13:13Z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ffb50f13-e79f-42d0-b223-78f463d564d2</vt:lpwstr>
  </property>
  <property fmtid="{D5CDD505-2E9C-101B-9397-08002B2CF9AE}" pid="8" name="MSIP_Label_792c8cef-6f2b-4af1-b4ac-d815ff795cd6_ContentBits">
    <vt:lpwstr>0</vt:lpwstr>
  </property>
</Properties>
</file>