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67293">
      <w:pPr>
        <w:ind w:left="0" w:leftChars="0"/>
        <w:jc w:val="center"/>
        <w:rPr>
          <w:rFonts w:ascii="Times New Roman" w:hAnsi="Times New Roman" w:eastAsia="楷体"/>
          <w:b/>
          <w:color w:val="376092"/>
          <w:sz w:val="52"/>
          <w:szCs w:val="52"/>
          <w:highlight w:val="none"/>
        </w:rPr>
      </w:pPr>
      <w:r>
        <w:rPr>
          <w:rFonts w:hint="eastAsia" w:ascii="Times New Roman" w:hAnsi="Times New Roman" w:eastAsia="楷体"/>
          <w:b/>
          <w:color w:val="376092"/>
          <w:sz w:val="52"/>
          <w:szCs w:val="52"/>
          <w:highlight w:val="none"/>
        </w:rPr>
        <w:t>每周政策信息</w:t>
      </w:r>
    </w:p>
    <w:p w14:paraId="68C62061">
      <w:pPr>
        <w:adjustRightInd w:val="0"/>
        <w:snapToGrid w:val="0"/>
        <w:spacing w:line="580" w:lineRule="exact"/>
        <w:ind w:left="0" w:leftChars="0"/>
        <w:jc w:val="center"/>
        <w:rPr>
          <w:rFonts w:ascii="Times New Roman" w:hAnsi="Times New Roman"/>
          <w:sz w:val="24"/>
          <w:szCs w:val="24"/>
          <w:highlight w:val="none"/>
        </w:rPr>
      </w:pPr>
      <w:bookmarkStart w:id="0" w:name="_Toc3926"/>
      <w:bookmarkStart w:id="1" w:name="_Toc1446"/>
      <w:bookmarkStart w:id="2" w:name="_Toc28029"/>
      <w:bookmarkStart w:id="3" w:name="_Toc1063"/>
      <w:bookmarkStart w:id="4" w:name="_Toc23536"/>
      <w:r>
        <w:rPr>
          <w:rFonts w:ascii="Times New Roman" w:hAnsi="Times New Roman" w:eastAsia="方正楷体_GBK"/>
          <w:b/>
          <w:color w:val="376092"/>
          <w:sz w:val="30"/>
          <w:szCs w:val="30"/>
          <w:highlight w:val="none"/>
        </w:rPr>
        <w:t>（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</w:rPr>
        <w:t>时间:2026年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  <w:lang w:val="en-US" w:eastAsia="zh-CN"/>
        </w:rPr>
        <w:t>6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</w:rPr>
        <w:t>月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  <w:lang w:val="en-US" w:eastAsia="zh-CN"/>
        </w:rPr>
        <w:t>15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</w:rPr>
        <w:t>日-2026年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  <w:lang w:val="en-US" w:eastAsia="zh-CN"/>
        </w:rPr>
        <w:t>6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</w:rPr>
        <w:t>月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  <w:lang w:val="en-US" w:eastAsia="zh-CN"/>
        </w:rPr>
        <w:t>21</w:t>
      </w:r>
      <w:r>
        <w:rPr>
          <w:rFonts w:hint="eastAsia" w:ascii="Times New Roman" w:hAnsi="Times New Roman" w:eastAsia="方正楷体_GBK"/>
          <w:b/>
          <w:color w:val="376092"/>
          <w:sz w:val="30"/>
          <w:szCs w:val="30"/>
          <w:highlight w:val="none"/>
        </w:rPr>
        <w:t>日</w:t>
      </w:r>
      <w:r>
        <w:rPr>
          <w:rFonts w:ascii="Times New Roman" w:hAnsi="Times New Roman" w:eastAsia="方正楷体_GBK"/>
          <w:b/>
          <w:color w:val="376092"/>
          <w:sz w:val="30"/>
          <w:szCs w:val="30"/>
          <w:highlight w:val="none"/>
        </w:rPr>
        <w:t>）</w:t>
      </w:r>
      <w:bookmarkEnd w:id="0"/>
      <w:bookmarkEnd w:id="1"/>
      <w:bookmarkEnd w:id="2"/>
      <w:bookmarkEnd w:id="3"/>
      <w:bookmarkEnd w:id="4"/>
    </w:p>
    <w:p w14:paraId="13D5252C">
      <w:pPr>
        <w:ind w:left="0" w:leftChars="0"/>
        <w:jc w:val="center"/>
        <w:rPr>
          <w:rFonts w:ascii="Times New Roman" w:hAnsi="Times New Roman" w:eastAsia="楷体"/>
          <w:b/>
          <w:color w:val="376092"/>
          <w:sz w:val="52"/>
          <w:szCs w:val="52"/>
          <w:highlight w:val="none"/>
        </w:rPr>
      </w:pPr>
    </w:p>
    <w:p w14:paraId="72FFCD17">
      <w:pPr>
        <w:ind w:left="0" w:leftChars="0"/>
        <w:jc w:val="center"/>
        <w:rPr>
          <w:rFonts w:hint="eastAsia"/>
          <w:highlight w:val="none"/>
        </w:rPr>
      </w:pPr>
      <w:r>
        <w:rPr>
          <w:rFonts w:ascii="宋体" w:hAnsi="宋体" w:eastAsia="宋体"/>
          <w:highlight w:val="none"/>
        </w:rPr>
        <w:t>目录</w:t>
      </w:r>
    </w:p>
    <w:p w14:paraId="577FD686">
      <w:pPr>
        <w:pStyle w:val="17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TOC \o "1-3" \h \u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_Toc31600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Times New Roman" w:hAnsi="Times New Roman" w:eastAsia="方正黑体_GBK" w:cs="Times New Roman"/>
          <w:bCs/>
          <w:kern w:val="2"/>
          <w:szCs w:val="30"/>
          <w:highlight w:val="none"/>
          <w:lang w:val="en-US" w:eastAsia="zh-CN" w:bidi="ar-SA"/>
        </w:rPr>
        <w:t>一、</w:t>
      </w:r>
      <w:r>
        <w:rPr>
          <w:rFonts w:ascii="Times New Roman" w:hAnsi="Times New Roman" w:eastAsia="方正黑体_GBK" w:cs="Times New Roman"/>
          <w:bCs/>
          <w:szCs w:val="30"/>
          <w:highlight w:val="none"/>
        </w:rPr>
        <w:t>中央</w:t>
      </w:r>
      <w:r>
        <w:rPr>
          <w:rFonts w:hint="eastAsia" w:ascii="Times New Roman" w:hAnsi="Times New Roman" w:eastAsia="方正黑体_GBK" w:cs="Times New Roman"/>
          <w:bCs/>
          <w:szCs w:val="30"/>
          <w:highlight w:val="none"/>
        </w:rPr>
        <w:t>有关精神</w:t>
      </w:r>
      <w:r>
        <w:tab/>
      </w:r>
      <w:r>
        <w:fldChar w:fldCharType="begin"/>
      </w:r>
      <w:r>
        <w:instrText xml:space="preserve"> PAGEREF _Toc31600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AD47EEA">
      <w:pPr>
        <w:pStyle w:val="19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_Toc24158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lang w:val="en-US" w:eastAsia="zh-CN" w:bidi="ar-SA"/>
        </w:rPr>
        <w:t>1.</w:t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highlight w:val="none"/>
          <w:lang w:val="en-US" w:eastAsia="zh-CN" w:bidi="ar-SA"/>
        </w:rPr>
        <w:t>中缅高层会谈拓展中缅在可再生能源、人工智能等领域的合作</w:t>
      </w:r>
      <w:r>
        <w:tab/>
      </w:r>
      <w:r>
        <w:fldChar w:fldCharType="begin"/>
      </w:r>
      <w:r>
        <w:instrText xml:space="preserve"> PAGEREF _Toc24158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7DB71E7">
      <w:pPr>
        <w:pStyle w:val="17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_Toc8787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Times New Roman" w:hAnsi="Times New Roman" w:eastAsia="方正黑体_GBK" w:cs="Times New Roman"/>
          <w:bCs w:val="0"/>
          <w:kern w:val="2"/>
          <w:szCs w:val="30"/>
          <w:highlight w:val="none"/>
          <w:lang w:val="en-US" w:eastAsia="zh-CN" w:bidi="ar-SA"/>
        </w:rPr>
        <w:t>二、</w:t>
      </w:r>
      <w:r>
        <w:rPr>
          <w:rFonts w:ascii="Times New Roman" w:hAnsi="Times New Roman" w:eastAsia="方正黑体_GBK" w:cs="Times New Roman"/>
          <w:bCs/>
          <w:szCs w:val="30"/>
          <w:highlight w:val="none"/>
        </w:rPr>
        <w:t>部委</w:t>
      </w:r>
      <w:r>
        <w:rPr>
          <w:rFonts w:hint="eastAsia" w:ascii="Times New Roman" w:hAnsi="Times New Roman" w:eastAsia="方正黑体_GBK" w:cs="Times New Roman"/>
          <w:bCs/>
          <w:szCs w:val="30"/>
          <w:highlight w:val="none"/>
        </w:rPr>
        <w:t>政策信息</w:t>
      </w:r>
      <w:r>
        <w:tab/>
      </w:r>
      <w:r>
        <w:fldChar w:fldCharType="begin"/>
      </w:r>
      <w:r>
        <w:instrText xml:space="preserve"> PAGEREF _Toc8787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3179E4FB">
      <w:pPr>
        <w:pStyle w:val="19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_Toc30886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highlight w:val="none"/>
          <w:lang w:val="en-US" w:eastAsia="zh-CN" w:bidi="ar-SA"/>
        </w:rPr>
        <w:t>2.国家发改委、工信部、生态环境部、国资委、国家能源局等五部门联合印发《关于开展重点行业节能降碳改造攻坚三年行动的通知》</w:t>
      </w:r>
      <w:r>
        <w:tab/>
      </w:r>
      <w:r>
        <w:fldChar w:fldCharType="begin"/>
      </w:r>
      <w:r>
        <w:instrText xml:space="preserve"> PAGEREF _Toc30886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123875AB">
      <w:pPr>
        <w:pStyle w:val="19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_Toc5577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highlight w:val="none"/>
          <w:lang w:val="en-US" w:eastAsia="zh-CN" w:bidi="ar-SA"/>
        </w:rPr>
        <w:t>3.国家发改委召开企业座谈会研究当前经济形势和系统推进“六张网”建设</w:t>
      </w:r>
      <w:r>
        <w:tab/>
      </w:r>
      <w:r>
        <w:fldChar w:fldCharType="begin"/>
      </w:r>
      <w:r>
        <w:instrText xml:space="preserve"> PAGEREF _Toc5577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3C4B2084">
      <w:pPr>
        <w:pStyle w:val="19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_Toc2561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lang w:val="en-US" w:eastAsia="zh-CN" w:bidi="ar-SA"/>
        </w:rPr>
        <w:t>4.</w:t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highlight w:val="none"/>
          <w:lang w:val="en-US" w:eastAsia="zh-CN" w:bidi="ar-SA"/>
        </w:rPr>
        <w:t>工信部、商务部、国家发改委、农业农村部、国家能源局等五部门印发《关于开展2026年新能源汽车下乡活动的通知》</w:t>
      </w:r>
      <w:r>
        <w:tab/>
      </w:r>
      <w:r>
        <w:fldChar w:fldCharType="begin"/>
      </w:r>
      <w:r>
        <w:instrText xml:space="preserve"> PAGEREF _Toc2561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A20D447">
      <w:pPr>
        <w:pStyle w:val="19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_Toc1700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lang w:val="en-US" w:eastAsia="zh-CN" w:bidi="ar-SA"/>
        </w:rPr>
        <w:t>5.</w:t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highlight w:val="none"/>
          <w:lang w:val="en-US" w:eastAsia="zh-CN" w:bidi="ar-SA"/>
        </w:rPr>
        <w:t>国家能源局组织召开全国可再生能源电力开发建设月度（6月）调度视频会</w:t>
      </w:r>
      <w:r>
        <w:tab/>
      </w:r>
      <w:r>
        <w:fldChar w:fldCharType="begin"/>
      </w:r>
      <w:r>
        <w:instrText xml:space="preserve"> PAGEREF _Toc1700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C236200">
      <w:pPr>
        <w:pStyle w:val="17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_Toc4166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Times New Roman" w:hAnsi="Times New Roman" w:eastAsia="方正黑体_GBK" w:cs="Times New Roman"/>
          <w:bCs w:val="0"/>
          <w:kern w:val="2"/>
          <w:szCs w:val="30"/>
          <w:highlight w:val="none"/>
          <w:lang w:val="en-US" w:eastAsia="zh-CN" w:bidi="ar-SA"/>
        </w:rPr>
        <w:t>三、国内能源行业动态</w:t>
      </w:r>
      <w:r>
        <w:tab/>
      </w:r>
      <w:r>
        <w:fldChar w:fldCharType="begin"/>
      </w:r>
      <w:r>
        <w:instrText xml:space="preserve"> PAGEREF _Toc4166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54B546F">
      <w:pPr>
        <w:pStyle w:val="19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_Toc4717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lang w:val="en-US" w:eastAsia="zh-CN" w:bidi="ar-SA"/>
        </w:rPr>
        <w:t>6.</w:t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highlight w:val="none"/>
          <w:lang w:val="en-US" w:eastAsia="zh-CN" w:bidi="ar-SA"/>
        </w:rPr>
        <w:t>全国首个新能源与智能网联汽车零碳标杆园区建设启动</w:t>
      </w:r>
      <w:r>
        <w:tab/>
      </w:r>
      <w:r>
        <w:fldChar w:fldCharType="begin"/>
      </w:r>
      <w:r>
        <w:instrText xml:space="preserve"> PAGEREF _Toc4717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8F88F51">
      <w:pPr>
        <w:pStyle w:val="19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_Toc5569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lang w:val="en-US" w:eastAsia="zh-CN" w:bidi="ar-SA"/>
        </w:rPr>
        <w:t>7.</w:t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highlight w:val="none"/>
          <w:lang w:val="en-US" w:eastAsia="zh-CN" w:bidi="ar-SA"/>
        </w:rPr>
        <w:t>国家统计局发布5月份国民经济运行总体情况</w:t>
      </w:r>
      <w:r>
        <w:tab/>
      </w:r>
      <w:r>
        <w:fldChar w:fldCharType="begin"/>
      </w:r>
      <w:r>
        <w:instrText xml:space="preserve"> PAGEREF _Toc5569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74E98D72">
      <w:pPr>
        <w:pStyle w:val="19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_Toc31129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lang w:val="en-US" w:eastAsia="zh-CN" w:bidi="ar-SA"/>
        </w:rPr>
        <w:t>8.</w:t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highlight w:val="none"/>
          <w:lang w:val="en-US" w:eastAsia="zh-CN" w:bidi="ar-SA"/>
        </w:rPr>
        <w:t>国家统计局发布2026年5月份能源生产情况</w:t>
      </w:r>
      <w:r>
        <w:tab/>
      </w:r>
      <w:r>
        <w:fldChar w:fldCharType="begin"/>
      </w:r>
      <w:r>
        <w:instrText xml:space="preserve"> PAGEREF _Toc31129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15301E0B">
      <w:pPr>
        <w:pStyle w:val="19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_Toc8963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lang w:val="en-US" w:eastAsia="zh-CN" w:bidi="ar-SA"/>
        </w:rPr>
        <w:t>9.</w:t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highlight w:val="none"/>
          <w:lang w:val="en-US" w:eastAsia="zh-CN" w:bidi="ar-SA"/>
        </w:rPr>
        <w:t>2026年全国节能宣传周正式启动</w:t>
      </w:r>
      <w:r>
        <w:tab/>
      </w:r>
      <w:r>
        <w:fldChar w:fldCharType="begin"/>
      </w:r>
      <w:r>
        <w:instrText xml:space="preserve"> PAGEREF _Toc8963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04337C91">
      <w:pPr>
        <w:pStyle w:val="17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_Toc3233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Times New Roman" w:hAnsi="Times New Roman" w:eastAsia="方正黑体_GBK" w:cs="Times New Roman"/>
          <w:bCs/>
          <w:kern w:val="2"/>
          <w:szCs w:val="30"/>
          <w:highlight w:val="none"/>
          <w:lang w:val="en-US" w:eastAsia="zh-CN" w:bidi="ar-SA"/>
        </w:rPr>
        <w:t>四、</w:t>
      </w:r>
      <w:r>
        <w:rPr>
          <w:rFonts w:ascii="Times New Roman" w:hAnsi="Times New Roman" w:eastAsia="方正黑体_GBK" w:cs="Times New Roman"/>
          <w:bCs/>
          <w:szCs w:val="30"/>
          <w:highlight w:val="none"/>
        </w:rPr>
        <w:t>国</w:t>
      </w:r>
      <w:r>
        <w:rPr>
          <w:rFonts w:hint="eastAsia" w:ascii="Times New Roman" w:hAnsi="Times New Roman" w:eastAsia="方正黑体_GBK" w:cs="Times New Roman"/>
          <w:bCs/>
          <w:szCs w:val="30"/>
          <w:highlight w:val="none"/>
        </w:rPr>
        <w:t>际能源动态</w:t>
      </w:r>
      <w:r>
        <w:tab/>
      </w:r>
      <w:r>
        <w:fldChar w:fldCharType="begin"/>
      </w:r>
      <w:r>
        <w:instrText xml:space="preserve"> PAGEREF _Toc3233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4D4C4CCD">
      <w:pPr>
        <w:pStyle w:val="19"/>
        <w:tabs>
          <w:tab w:val="right" w:leader="dot" w:pos="8312"/>
        </w:tabs>
      </w:pPr>
      <w:r>
        <w:rPr>
          <w:rFonts w:hint="eastAsia" w:ascii="微软雅黑" w:hAnsi="微软雅黑" w:eastAsia="微软雅黑" w:cs="微软雅黑"/>
          <w:highlight w:val="none"/>
        </w:rPr>
        <w:fldChar w:fldCharType="begin"/>
      </w:r>
      <w:r>
        <w:rPr>
          <w:rFonts w:hint="eastAsia" w:ascii="微软雅黑" w:hAnsi="微软雅黑" w:eastAsia="微软雅黑" w:cs="微软雅黑"/>
          <w:highlight w:val="none"/>
        </w:rPr>
        <w:instrText xml:space="preserve"> HYPERLINK \l _Toc12324 </w:instrText>
      </w:r>
      <w:r>
        <w:rPr>
          <w:rFonts w:hint="eastAsia" w:ascii="微软雅黑" w:hAnsi="微软雅黑" w:eastAsia="微软雅黑" w:cs="微软雅黑"/>
          <w:highlight w:val="none"/>
        </w:rPr>
        <w:fldChar w:fldCharType="separate"/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lang w:val="en-US" w:eastAsia="zh-CN" w:bidi="ar-SA"/>
        </w:rPr>
        <w:t>10.</w:t>
      </w:r>
      <w:r>
        <w:rPr>
          <w:rFonts w:hint="eastAsia" w:ascii="方正黑体_GBK" w:hAnsi="方正黑体_GBK" w:eastAsia="方正黑体_GBK" w:cs="方正黑体_GBK"/>
          <w:bCs/>
          <w:kern w:val="2"/>
          <w:szCs w:val="32"/>
          <w:highlight w:val="none"/>
          <w:lang w:val="en-US" w:eastAsia="zh-CN" w:bidi="ar-SA"/>
        </w:rPr>
        <w:t>全球电网投资与AI算力基建叠加致使变压器出海高景气周期可持续2-3年</w:t>
      </w:r>
      <w:r>
        <w:tab/>
      </w:r>
      <w:r>
        <w:fldChar w:fldCharType="begin"/>
      </w:r>
      <w:r>
        <w:instrText xml:space="preserve"> PAGEREF _Toc12324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53AAF6BC">
      <w:pPr>
        <w:rPr>
          <w:rFonts w:hint="eastAsia" w:ascii="微软雅黑" w:hAnsi="微软雅黑" w:eastAsia="微软雅黑" w:cs="微软雅黑"/>
          <w:bCs/>
          <w:kern w:val="2"/>
          <w:sz w:val="21"/>
          <w:szCs w:val="32"/>
          <w:highlight w:val="none"/>
          <w:lang w:val="en-US" w:eastAsia="zh-CN" w:bidi="ar-SA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797" w:bottom="1440" w:left="1797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微软雅黑" w:hAnsi="微软雅黑" w:eastAsia="微软雅黑" w:cs="微软雅黑"/>
          <w:highlight w:val="none"/>
        </w:rPr>
        <w:fldChar w:fldCharType="end"/>
      </w:r>
    </w:p>
    <w:p w14:paraId="60C875D1">
      <w:pPr>
        <w:pStyle w:val="4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0" w:firstLineChars="0"/>
        <w:textAlignment w:val="auto"/>
        <w:outlineLvl w:val="0"/>
        <w:rPr>
          <w:rFonts w:hint="eastAsia" w:ascii="Times New Roman" w:hAnsi="Times New Roman" w:eastAsia="方正黑体_GBK" w:cs="Times New Roman"/>
          <w:bCs/>
          <w:sz w:val="36"/>
          <w:szCs w:val="30"/>
          <w:highlight w:val="none"/>
        </w:rPr>
      </w:pPr>
      <w:bookmarkStart w:id="5" w:name="_Toc10384"/>
      <w:bookmarkStart w:id="6" w:name="_Toc31600"/>
      <w:r>
        <w:rPr>
          <w:rFonts w:hint="eastAsia" w:ascii="Times New Roman" w:hAnsi="Times New Roman" w:eastAsia="方正黑体_GBK" w:cs="Times New Roman"/>
          <w:bCs/>
          <w:kern w:val="2"/>
          <w:sz w:val="36"/>
          <w:szCs w:val="30"/>
          <w:highlight w:val="none"/>
          <w:lang w:val="en-US" w:eastAsia="zh-CN" w:bidi="ar-SA"/>
        </w:rPr>
        <w:t>一、</w:t>
      </w:r>
      <w:r>
        <w:rPr>
          <w:rFonts w:ascii="Times New Roman" w:hAnsi="Times New Roman" w:eastAsia="方正黑体_GBK" w:cs="Times New Roman"/>
          <w:bCs/>
          <w:sz w:val="36"/>
          <w:szCs w:val="30"/>
          <w:highlight w:val="none"/>
        </w:rPr>
        <w:t>中央</w:t>
      </w:r>
      <w:bookmarkEnd w:id="5"/>
      <w:r>
        <w:rPr>
          <w:rFonts w:hint="eastAsia" w:ascii="Times New Roman" w:hAnsi="Times New Roman" w:eastAsia="方正黑体_GBK" w:cs="Times New Roman"/>
          <w:bCs/>
          <w:sz w:val="36"/>
          <w:szCs w:val="30"/>
          <w:highlight w:val="none"/>
        </w:rPr>
        <w:t>有关精神</w:t>
      </w:r>
      <w:bookmarkEnd w:id="6"/>
    </w:p>
    <w:p w14:paraId="14EFC22F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5" w:leftChars="0" w:hanging="5" w:firstLineChars="0"/>
        <w:textAlignment w:val="auto"/>
        <w:outlineLvl w:val="1"/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</w:pPr>
      <w:bookmarkStart w:id="7" w:name="_Toc24158"/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lang w:val="en-US" w:eastAsia="zh-CN" w:bidi="ar-SA"/>
        </w:rPr>
        <w:t>1.</w:t>
      </w:r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中缅高层会谈拓展中缅在可再生能源、人工智能等领域的合作</w:t>
      </w:r>
      <w:bookmarkEnd w:id="7"/>
    </w:p>
    <w:p w14:paraId="199F7264">
      <w:pPr>
        <w:pStyle w:val="4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0" w:firstLineChars="0"/>
        <w:textAlignment w:val="auto"/>
        <w:outlineLvl w:val="9"/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</w:pPr>
      <w:bookmarkStart w:id="8" w:name="_Toc22904"/>
      <w:bookmarkStart w:id="9" w:name="_Toc14664"/>
      <w:bookmarkStart w:id="10" w:name="_Toc1982485560"/>
      <w:bookmarkStart w:id="11" w:name="_Toc1455319757"/>
      <w:bookmarkStart w:id="12" w:name="_Toc1556527552"/>
      <w:bookmarkStart w:id="13" w:name="_Toc21311"/>
      <w:bookmarkStart w:id="14" w:name="_Toc10524"/>
      <w:bookmarkStart w:id="15" w:name="_Toc26621"/>
      <w:bookmarkStart w:id="16" w:name="_Toc1268413539"/>
      <w:bookmarkStart w:id="17" w:name="_Toc699"/>
      <w:bookmarkStart w:id="18" w:name="_Toc543726301"/>
      <w:bookmarkStart w:id="19" w:name="_Toc9923"/>
      <w:bookmarkStart w:id="20" w:name="_Toc32734"/>
      <w:bookmarkStart w:id="21" w:name="_Toc5622"/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国家主席习近平同来华进行国事访问的缅甸总统敏昂莱举行会谈，就深化发展中缅关系作出进一步规划。习近平指出，中方愿同缅方分享发展经验，共同打造政治上友好互信、发展上互利互惠、安全上协调互促、人文上交融互鉴的中缅命运共同体。中缅经济走廊是两国共建“一带一路”的旗舰项目，双方要在确保安全前提下，稳步推进重点项目建设，持续扩大双边贸易规模，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highlight w:val="none"/>
          <w:lang w:val="en-US" w:eastAsia="zh-CN" w:bidi="ar-SA"/>
        </w:rPr>
        <w:t>拓展可再生能源、人工智能、数字经济等领域合作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，助力缅甸发展经济、改善民生。（新华社）</w:t>
      </w:r>
    </w:p>
    <w:p w14:paraId="005DC754">
      <w:pPr>
        <w:pStyle w:val="4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0" w:firstLineChars="0"/>
        <w:textAlignment w:val="auto"/>
        <w:outlineLvl w:val="0"/>
        <w:rPr>
          <w:rFonts w:ascii="Times New Roman" w:hAnsi="Times New Roman" w:eastAsia="方正黑体_GBK" w:cs="Times New Roman"/>
          <w:bCs/>
          <w:sz w:val="36"/>
          <w:szCs w:val="30"/>
          <w:highlight w:val="none"/>
        </w:rPr>
      </w:pPr>
      <w:bookmarkStart w:id="22" w:name="_Toc8787"/>
      <w:r>
        <w:rPr>
          <w:rFonts w:hint="eastAsia" w:ascii="Times New Roman" w:hAnsi="Times New Roman" w:eastAsia="方正黑体_GBK" w:cs="Times New Roman"/>
          <w:b w:val="0"/>
          <w:bCs w:val="0"/>
          <w:kern w:val="2"/>
          <w:sz w:val="36"/>
          <w:szCs w:val="30"/>
          <w:highlight w:val="none"/>
          <w:lang w:val="en-US" w:eastAsia="zh-CN" w:bidi="ar-SA"/>
        </w:rPr>
        <w:t>二、</w:t>
      </w:r>
      <w:r>
        <w:rPr>
          <w:rFonts w:ascii="Times New Roman" w:hAnsi="Times New Roman" w:eastAsia="方正黑体_GBK" w:cs="Times New Roman"/>
          <w:bCs/>
          <w:sz w:val="36"/>
          <w:szCs w:val="30"/>
          <w:highlight w:val="none"/>
        </w:rPr>
        <w:t>部委</w:t>
      </w:r>
      <w:bookmarkEnd w:id="8"/>
      <w:bookmarkEnd w:id="9"/>
      <w:bookmarkEnd w:id="10"/>
      <w:r>
        <w:rPr>
          <w:rFonts w:hint="eastAsia" w:ascii="Times New Roman" w:hAnsi="Times New Roman" w:eastAsia="方正黑体_GBK" w:cs="Times New Roman"/>
          <w:bCs/>
          <w:sz w:val="36"/>
          <w:szCs w:val="30"/>
          <w:highlight w:val="none"/>
        </w:rPr>
        <w:t>政策信息</w:t>
      </w:r>
      <w:bookmarkEnd w:id="22"/>
    </w:p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p w14:paraId="4FC6D828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5" w:leftChars="0" w:hanging="5" w:firstLineChars="0"/>
        <w:textAlignment w:val="auto"/>
        <w:outlineLvl w:val="1"/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</w:pPr>
      <w:bookmarkStart w:id="23" w:name="_Toc30886"/>
      <w:bookmarkStart w:id="24" w:name="_Toc17099"/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2.国家发改委、工信部、生态环境部、国资委、国家能源局等五部门联合印发《关于开展重点行业节能降碳改造攻坚三年行动的通知》</w:t>
      </w:r>
      <w:bookmarkEnd w:id="23"/>
    </w:p>
    <w:p w14:paraId="23D06AF4">
      <w:pPr>
        <w:pStyle w:val="4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0" w:firstLineChars="0"/>
        <w:textAlignment w:val="auto"/>
        <w:outlineLvl w:val="9"/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《通知》是继2021年、2023年两项能效政策后的深化，工作重心从标准确立转向强制清零。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范围覆盖钢铁、电解铝、水泥、平板玻璃、炼油、乙烯、合成氨、甲醇、煤电9个重点行业，实施周期为2026—2028年。核心目标：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工业重点行业能效标杆产能占比平均提高20个百分点，煤电提高15个百分点，基准水平以下产能基本清零；累计形成节能量1亿吨标准煤以上，减排二氧化碳2亿吨以上。保障措施：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一是标准倒逼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，2028年底前未达基准水平项目淘汰关停；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二是电价调节，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建立统一差别化电价，对不达标企业加价不超过0.1元/千瓦时，收入冲减系统运行费；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三是财政支持，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对改造项目按投资额20%给予中央补助，优先支持标杆水平项目。（国家发改委）</w:t>
      </w:r>
    </w:p>
    <w:p w14:paraId="33B4C88F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5" w:leftChars="0" w:hanging="5" w:firstLineChars="0"/>
        <w:textAlignment w:val="auto"/>
        <w:outlineLvl w:val="1"/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</w:pPr>
      <w:bookmarkStart w:id="25" w:name="_Toc5577"/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3.国家发改委召开民营企业座谈会研究当前经济形势和系统推进“六张网”建设</w:t>
      </w:r>
      <w:bookmarkEnd w:id="25"/>
    </w:p>
    <w:p w14:paraId="5A75B4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0" w:firstLineChars="0"/>
        <w:jc w:val="left"/>
        <w:textAlignment w:val="auto"/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座谈会结合当前宏观经济形势，聚焦系统推进六张网（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水网、新型电网、算力网、新一代通信网、城市地下管网、物流网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）基础设施建设、扩大国内有效需求，广泛听取民营市场主体意见建议，畅通民企参与重大基建渠道。会议明确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“六张网”建设兼顾传统基础设施补短板与新型基础设施布局，是挖掘内需潜力、构建现代化产业体系的重要支撑。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会上要求强化多网协同建设，统筹政府资金和政策性金融工具，破除民间资本准入门槛，充分激活民企活力，引导民营资本全面参与六张网规划、投资、建设、运营，依托大规模基建投资稳定经济大盘。（国家发改委）</w:t>
      </w:r>
      <w:bookmarkStart w:id="26" w:name="_Toc2561"/>
    </w:p>
    <w:p w14:paraId="4796195A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5" w:leftChars="0" w:hanging="5" w:firstLineChars="0"/>
        <w:textAlignment w:val="auto"/>
        <w:outlineLvl w:val="1"/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lang w:val="en-US" w:eastAsia="zh-CN" w:bidi="ar-SA"/>
        </w:rPr>
        <w:t>4.</w:t>
      </w:r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工信部、商务部、国家发改委、农业农村部、国家能源局等五部门印发《关于开展2026年新能源汽车下乡活动的通知》</w:t>
      </w:r>
      <w:bookmarkEnd w:id="26"/>
    </w:p>
    <w:p w14:paraId="22E9C5D0">
      <w:pPr>
        <w:pStyle w:val="30"/>
        <w:ind w:left="0" w:leftChars="0" w:firstLine="0" w:firstLineChars="0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bookmarkStart w:id="27" w:name="_Toc2483"/>
      <w:bookmarkStart w:id="28" w:name="_Toc1700"/>
      <w:bookmarkStart w:id="39" w:name="_GoBack"/>
      <w:bookmarkEnd w:id="39"/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《通知》旨在推进美丽乡村建设，激活下沉市场消费，补齐乡村绿色出行基础设施短板，推广乡村绿色出行新体验。本次是第八年新能源汽车下乡活动，本年度符合要求的乡村地区消费者换购新能源汽车，均可申领以旧换新补贴，不受补贴资格数量限制。《通知》围绕活动主题，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部署了四项关键任务，一是扩大新能源汽车在乡村的消费，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筛选符合乡村使用需求、质量可靠的车型；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二是推进汽车以旧换新进乡村，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在下乡活动中设置专区，提供一站式服务；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三是统筹融合已有品牌活动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，开展线下特色活动；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四是优化乡村新能源汽车配套环境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，提升服务水平。（工信部）</w:t>
      </w:r>
    </w:p>
    <w:p w14:paraId="685DDAF4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5" w:leftChars="0" w:hanging="5" w:firstLineChars="0"/>
        <w:textAlignment w:val="auto"/>
        <w:outlineLvl w:val="1"/>
        <w:rPr>
          <w:rFonts w:hint="default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lang w:val="en-US" w:eastAsia="zh-CN" w:bidi="ar-SA"/>
        </w:rPr>
        <w:t>5.</w:t>
      </w:r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国家能源局组织召开全国可再生能源电力开发建设月度（6月）调度视频会</w:t>
      </w:r>
      <w:bookmarkEnd w:id="27"/>
      <w:bookmarkEnd w:id="28"/>
    </w:p>
    <w:p w14:paraId="152D14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80" w:lineRule="exact"/>
        <w:ind w:left="0" w:leftChars="0" w:right="0" w:firstLine="0" w:firstLineChars="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会议总结2026年1-4月全国可再生能源发展总体情况并部署下一步工作要求。截至2026年4月底，可再生能源发电装机突破24亿千瓦，占全国电力总装机的60.5%；新增装机7516万千瓦，占全部新增装机的70.7%；发电量1.2万亿千瓦时，占全社会用电量36.4%。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重点部署七方面工作，一是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加大新能源并网消纳工作力度，全面提升电网五大能力。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二是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推进新能源就地就近消纳，落地绿电直连政策。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三是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加快推进项目建设，保障大基地项目进度。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四是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扎实做好政策落地实施，结合地方实际精准推进。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五是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完善高比例新能源市场机制，依托价格信号带动储能发展；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六是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提升企业综合竞争能力，推动向综合型主体转型。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七是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加强工作统筹形成合力，压实分级监督调度职责。（国家能源局）</w:t>
      </w:r>
    </w:p>
    <w:p w14:paraId="2F261212">
      <w:pPr>
        <w:pStyle w:val="4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0" w:firstLineChars="0"/>
        <w:textAlignment w:val="auto"/>
        <w:outlineLvl w:val="0"/>
        <w:rPr>
          <w:rFonts w:hint="eastAsia" w:ascii="Times New Roman" w:hAnsi="Times New Roman" w:eastAsia="方正黑体_GBK" w:cs="Times New Roman"/>
          <w:b w:val="0"/>
          <w:bCs w:val="0"/>
          <w:kern w:val="2"/>
          <w:sz w:val="36"/>
          <w:szCs w:val="30"/>
          <w:highlight w:val="none"/>
          <w:lang w:val="en-US" w:eastAsia="zh-CN" w:bidi="ar-SA"/>
        </w:rPr>
      </w:pPr>
      <w:bookmarkStart w:id="29" w:name="_Toc4166"/>
      <w:r>
        <w:rPr>
          <w:rFonts w:hint="eastAsia" w:ascii="Times New Roman" w:hAnsi="Times New Roman" w:eastAsia="方正黑体_GBK" w:cs="Times New Roman"/>
          <w:b w:val="0"/>
          <w:bCs w:val="0"/>
          <w:kern w:val="2"/>
          <w:sz w:val="36"/>
          <w:szCs w:val="30"/>
          <w:highlight w:val="none"/>
          <w:lang w:val="en-US" w:eastAsia="zh-CN" w:bidi="ar-SA"/>
        </w:rPr>
        <w:t>三、国内能源行业动态</w:t>
      </w:r>
      <w:bookmarkEnd w:id="29"/>
    </w:p>
    <w:p w14:paraId="057C85BF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425" w:leftChars="0" w:hanging="425" w:firstLineChars="0"/>
        <w:textAlignment w:val="auto"/>
        <w:outlineLvl w:val="1"/>
        <w:rPr>
          <w:rFonts w:hint="default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</w:pPr>
      <w:bookmarkStart w:id="30" w:name="_Toc4717"/>
      <w:bookmarkStart w:id="31" w:name="_Toc21670"/>
      <w:bookmarkStart w:id="32" w:name="_Toc22779"/>
      <w:bookmarkStart w:id="33" w:name="_Toc29071"/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lang w:val="en-US" w:eastAsia="zh-CN" w:bidi="ar-SA"/>
        </w:rPr>
        <w:t>6.</w:t>
      </w:r>
      <w:bookmarkEnd w:id="30"/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全国首个新能源与智能网联汽车零碳标杆园区建设启动</w:t>
      </w:r>
    </w:p>
    <w:p w14:paraId="3FB351AC">
      <w:pPr>
        <w:pStyle w:val="4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0" w:firstLineChars="0"/>
        <w:textAlignment w:val="auto"/>
        <w:outlineLvl w:val="9"/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北京经开区正式启动国家级零碳园区建设工作，确立了“绿色能源供应、零碳智能制造、循环经济发展、智慧能碳管理”四位一体的建设路径，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明确提出到2028年，建成全国首个新能源与智能网联汽车零碳标杆园区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。该园区占地面积约9.76平方公里，共涉及25个项目，其中包括绿电直连与绿电直供、新能源供热利用、能碳管理平台等方面，投资总额约25.7亿元。预计到2028年，园区及其周边地区新建可再生能源年发电量达到10.28亿度，其中本地光伏和风电年发电量2.2亿度（装机180兆瓦）；跨区域绿电交易8.08亿度；绿电直连发电量6.22亿度（装机约560兆瓦）；天然气压减到0.26亿立方米。（央视财经）</w:t>
      </w:r>
    </w:p>
    <w:p w14:paraId="7E0F7BD6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425" w:leftChars="0" w:hanging="425" w:firstLineChars="0"/>
        <w:textAlignment w:val="auto"/>
        <w:outlineLvl w:val="1"/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</w:pPr>
      <w:bookmarkStart w:id="34" w:name="_Toc5569"/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lang w:val="en-US" w:eastAsia="zh-CN" w:bidi="ar-SA"/>
        </w:rPr>
        <w:t>7.</w:t>
      </w:r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国家统计局发布5月份国民经济运行总体情况</w:t>
      </w:r>
      <w:bookmarkEnd w:id="34"/>
    </w:p>
    <w:p w14:paraId="3611A8AA">
      <w:pPr>
        <w:pStyle w:val="4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firstLine="0" w:firstLineChars="0"/>
        <w:textAlignment w:val="auto"/>
        <w:outlineLvl w:val="9"/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5月份国民经济总体平稳、结构持续优化，新动能支撑作用凸显。主要体现在四个方面：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一是工业生产提速，高端制造领跑，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5月全国规模以上工业增加值同比增4.5%，高技术制造业、装备制造业增速亮眼，工业机器人、锂电池等新产品产量大幅上涨；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二是服务业平稳增长，数字服务业快速扩张，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服务业生产指数同比增长4.4%，数字服务业增长较快。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三是外贸大幅提速，内外需双向回暖，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当月进出口总额同比增16.9%，进出口同步两位数提升，外贸韧性持续显现。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四是消费与投资总量承压、结构优化，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2"/>
          <w:sz w:val="32"/>
          <w:szCs w:val="32"/>
          <w:highlight w:val="none"/>
          <w:lang w:val="en-US" w:eastAsia="zh-CN" w:bidi="ar-SA"/>
        </w:rPr>
        <w:t>内需偏弱，当月社会消费品零售同比小幅回落，1—5月固定资产投资累计同比下降，高技术制造业投资成为重要亮点。（国家统计局）</w:t>
      </w:r>
    </w:p>
    <w:p w14:paraId="03ACF632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425" w:leftChars="0" w:hanging="425" w:firstLineChars="0"/>
        <w:textAlignment w:val="auto"/>
        <w:outlineLvl w:val="1"/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</w:pPr>
      <w:bookmarkStart w:id="35" w:name="_Toc31129"/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lang w:val="en-US" w:eastAsia="zh-CN" w:bidi="ar-SA"/>
        </w:rPr>
        <w:t>8.</w:t>
      </w:r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国家统计局发布2026年5月份能源生产情况</w:t>
      </w:r>
      <w:bookmarkEnd w:id="31"/>
      <w:bookmarkEnd w:id="35"/>
    </w:p>
    <w:p w14:paraId="77495B66">
      <w:pPr>
        <w:pStyle w:val="4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textAlignment w:val="auto"/>
        <w:outlineLvl w:val="9"/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5月份规模以上工业原煤生产保持较高水平，原油生产稳定增长，天然气生产小幅下降，电力生产增速加快。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原煤生产保持较高水平，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规上工业原煤产量4.0亿吨，同比下降1.7%。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原油生产稳定增长，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规上工业原油产量1857万吨，同比增长0.5%，比4月份放缓0.7个百分点。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原油加工降幅扩大，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规上工业原油加工量5372万吨，同比下降9.1%，比4月份扩大3.3个百分点。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天然气生产小幅下降，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规上工业天然气产量217亿立方米，同比下降2.2%。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规上工业电力生产增速加快，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规上工业发电量7843亿千瓦时，同比增长4.2%，比4月份加快1.6个百分点。（国家统计局）</w:t>
      </w:r>
      <w:bookmarkEnd w:id="32"/>
      <w:bookmarkStart w:id="36" w:name="_Toc8963"/>
    </w:p>
    <w:p w14:paraId="114AA133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425" w:leftChars="0" w:hanging="425" w:firstLineChars="0"/>
        <w:textAlignment w:val="auto"/>
        <w:outlineLvl w:val="1"/>
        <w:rPr>
          <w:rFonts w:hint="default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lang w:val="en-US" w:eastAsia="zh-CN" w:bidi="ar-SA"/>
        </w:rPr>
        <w:t>9.</w:t>
      </w:r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2026年全国节能宣传周正式启动</w:t>
      </w:r>
      <w:bookmarkEnd w:id="36"/>
    </w:p>
    <w:p w14:paraId="08E06B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80" w:lineRule="exact"/>
        <w:ind w:left="0" w:leftChars="0" w:right="0" w:firstLine="0" w:firstLine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yellow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今年6月15日至21日是我国第36个全国节能宣传周，主题为“节能新起点低碳向未来”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。国家发改委联合重庆市人民政府在重庆市举办2026年全国节能宣传周启动仪式，启动会介绍“十五五”全面实施碳排放双控工作思路和重点安排。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在“行业攻坚实现节能降碳新突破”活动上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，来自电力、钢铁、建材、有色、石化、化工等重点行业11家企业联合发布“十五五”节能降碳改造承诺。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公司将开展节能宣传进企业、进社区、进农村、进学校、进医院，发放绿色用电手册，解读设备更新、以旧换新政策；依托网上国网APP上线e起节电专题活动，引导居民节约用电；开展供电+能效服务、e企节能行动，上门为企业开展能源能效体检，引导企业消纳绿色电力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（国家发改委）</w:t>
      </w:r>
    </w:p>
    <w:p w14:paraId="75B82D9D">
      <w:pPr>
        <w:pStyle w:val="4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textAlignment w:val="auto"/>
        <w:outlineLvl w:val="0"/>
        <w:rPr>
          <w:rFonts w:hint="eastAsia" w:ascii="Times New Roman" w:hAnsi="Times New Roman" w:eastAsia="方正黑体_GBK" w:cs="Times New Roman"/>
          <w:bCs/>
          <w:sz w:val="36"/>
          <w:szCs w:val="30"/>
          <w:highlight w:val="none"/>
        </w:rPr>
      </w:pPr>
      <w:bookmarkStart w:id="37" w:name="_Toc3233"/>
      <w:r>
        <w:rPr>
          <w:rFonts w:hint="eastAsia" w:ascii="Times New Roman" w:hAnsi="Times New Roman" w:eastAsia="方正黑体_GBK" w:cs="Times New Roman"/>
          <w:bCs/>
          <w:kern w:val="2"/>
          <w:sz w:val="36"/>
          <w:szCs w:val="30"/>
          <w:highlight w:val="none"/>
          <w:lang w:val="en-US" w:eastAsia="zh-CN" w:bidi="ar-SA"/>
        </w:rPr>
        <w:t>四、</w:t>
      </w:r>
      <w:r>
        <w:rPr>
          <w:rFonts w:ascii="Times New Roman" w:hAnsi="Times New Roman" w:eastAsia="方正黑体_GBK" w:cs="Times New Roman"/>
          <w:bCs/>
          <w:sz w:val="36"/>
          <w:szCs w:val="30"/>
          <w:highlight w:val="none"/>
        </w:rPr>
        <w:t>国</w:t>
      </w:r>
      <w:r>
        <w:rPr>
          <w:rFonts w:hint="eastAsia" w:ascii="Times New Roman" w:hAnsi="Times New Roman" w:eastAsia="方正黑体_GBK" w:cs="Times New Roman"/>
          <w:bCs/>
          <w:sz w:val="36"/>
          <w:szCs w:val="30"/>
          <w:highlight w:val="none"/>
        </w:rPr>
        <w:t>际能源动态</w:t>
      </w:r>
      <w:bookmarkEnd w:id="20"/>
      <w:bookmarkEnd w:id="21"/>
      <w:bookmarkEnd w:id="24"/>
      <w:bookmarkEnd w:id="33"/>
      <w:bookmarkEnd w:id="37"/>
    </w:p>
    <w:p w14:paraId="1F354052">
      <w:pPr>
        <w:pStyle w:val="3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5" w:leftChars="0" w:hanging="5" w:firstLineChars="0"/>
        <w:textAlignment w:val="auto"/>
        <w:outlineLvl w:val="1"/>
        <w:rPr>
          <w:rFonts w:hint="default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</w:pPr>
      <w:bookmarkStart w:id="38" w:name="_Toc12324"/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lang w:val="en-US" w:eastAsia="zh-CN" w:bidi="ar-SA"/>
        </w:rPr>
        <w:t>10.</w:t>
      </w:r>
      <w:r>
        <w:rPr>
          <w:rFonts w:hint="eastAsia" w:ascii="方正黑体_GBK" w:hAnsi="方正黑体_GBK" w:eastAsia="方正黑体_GBK" w:cs="方正黑体_GBK"/>
          <w:b/>
          <w:bCs/>
          <w:color w:val="000000"/>
          <w:kern w:val="2"/>
          <w:sz w:val="32"/>
          <w:szCs w:val="32"/>
          <w:highlight w:val="none"/>
          <w:lang w:val="en-US" w:eastAsia="zh-CN" w:bidi="ar-SA"/>
        </w:rPr>
        <w:t>全球电网投资与AI算力基建叠加致使变压器出海高景气周期可持续2-3年</w:t>
      </w:r>
      <w:bookmarkEnd w:id="38"/>
    </w:p>
    <w:p w14:paraId="091A4206">
      <w:pPr>
        <w:pStyle w:val="4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textAlignment w:val="auto"/>
        <w:outlineLvl w:val="9"/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当前，全球AI算力建设进入爆发期，电力设备变压器正升级为算力基础设施的核心。受欧美电网老化改造、AI数据中心爆发及新能源并网扩容三重需求共振驱动，头部变压器企业普遍在手订单饱满，有企业已启动扩产计划，还有部分企业已上调产品价格。</w:t>
      </w:r>
      <w:r>
        <w:rPr>
          <w:rFonts w:hint="eastAsia" w:ascii="仿宋_GB2312" w:hAnsi="仿宋_GB2312" w:eastAsia="仿宋_GB2312" w:cs="仿宋_GB2312"/>
          <w:b/>
          <w:bCs/>
          <w:color w:val="auto"/>
          <w:kern w:val="2"/>
          <w:sz w:val="32"/>
          <w:szCs w:val="32"/>
          <w:highlight w:val="none"/>
          <w:lang w:val="en-US" w:eastAsia="zh-CN" w:bidi="ar-SA"/>
        </w:rPr>
        <w:t>我国广东、江苏等地大量变压器工厂已经处于满产状态，其中部分面向数据中心的业务订单排到2027年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。业内认为，全球电网投资与AI算力基建叠加，变压器出海高景气周期至少可持续2-3年，中国企业凭借交期优势加速抢占份额。（环球网）</w:t>
      </w:r>
    </w:p>
    <w:sectPr>
      <w:footerReference r:id="rId11" w:type="default"/>
      <w:pgSz w:w="11906" w:h="16838"/>
      <w:pgMar w:top="1440" w:right="1797" w:bottom="1440" w:left="1797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840"/>
      </w:pPr>
      <w:r>
        <w:separator/>
      </w:r>
    </w:p>
  </w:endnote>
  <w:endnote w:type="continuationSeparator" w:id="1">
    <w:p>
      <w:pPr>
        <w:ind w:left="8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F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书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C02F9">
    <w:pPr>
      <w:pStyle w:val="15"/>
      <w:ind w:left="0" w:leftChars="0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051CD">
    <w:pPr>
      <w:pStyle w:val="15"/>
      <w:ind w:left="84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F1005">
    <w:pPr>
      <w:pStyle w:val="15"/>
      <w:ind w:left="840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42D08">
    <w:pPr>
      <w:pStyle w:val="15"/>
      <w:ind w:left="0" w:leftChars="0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B3D1DE">
                          <w:pPr>
                            <w:pStyle w:val="15"/>
                            <w:ind w:left="0" w:leftChars="0" w:firstLine="0" w:firstLineChars="0"/>
                            <w:jc w:val="both"/>
                          </w:pPr>
                          <w:r>
                            <w:t>—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B3D1DE">
                    <w:pPr>
                      <w:pStyle w:val="15"/>
                      <w:ind w:left="0" w:leftChars="0" w:firstLine="0" w:firstLineChars="0"/>
                      <w:jc w:val="both"/>
                    </w:pPr>
                    <w:r>
                      <w:t>—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840"/>
      </w:pPr>
      <w:r>
        <w:separator/>
      </w:r>
    </w:p>
  </w:footnote>
  <w:footnote w:type="continuationSeparator" w:id="1">
    <w:p>
      <w:pPr>
        <w:ind w:left="8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6BCE1">
    <w:pPr>
      <w:pStyle w:val="16"/>
      <w:pBdr>
        <w:bottom w:val="none" w:color="auto" w:sz="0" w:space="1"/>
      </w:pBdr>
      <w:ind w:left="84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7F6E3">
    <w:pPr>
      <w:pStyle w:val="16"/>
      <w:ind w:left="84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983CB">
    <w:pPr>
      <w:pStyle w:val="16"/>
      <w:ind w:left="84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¨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03EF7"/>
    <w:rsid w:val="00492675"/>
    <w:rsid w:val="012453C2"/>
    <w:rsid w:val="020F4CB4"/>
    <w:rsid w:val="02FE3B21"/>
    <w:rsid w:val="03111E8B"/>
    <w:rsid w:val="034C0838"/>
    <w:rsid w:val="042518DB"/>
    <w:rsid w:val="043B1509"/>
    <w:rsid w:val="04DB70DC"/>
    <w:rsid w:val="05257C6D"/>
    <w:rsid w:val="06085041"/>
    <w:rsid w:val="06366E11"/>
    <w:rsid w:val="066C529C"/>
    <w:rsid w:val="06912B13"/>
    <w:rsid w:val="06D62051"/>
    <w:rsid w:val="071C1CA7"/>
    <w:rsid w:val="076505C0"/>
    <w:rsid w:val="079941A4"/>
    <w:rsid w:val="07FB4E2D"/>
    <w:rsid w:val="088127E3"/>
    <w:rsid w:val="08CD1EAC"/>
    <w:rsid w:val="09C85CCE"/>
    <w:rsid w:val="09CA0F5B"/>
    <w:rsid w:val="09E17A2B"/>
    <w:rsid w:val="0A222B45"/>
    <w:rsid w:val="0A5851FA"/>
    <w:rsid w:val="0B423DAE"/>
    <w:rsid w:val="0BCF52F0"/>
    <w:rsid w:val="0BD476B7"/>
    <w:rsid w:val="0D533015"/>
    <w:rsid w:val="0D5D6A6D"/>
    <w:rsid w:val="0E690464"/>
    <w:rsid w:val="0E871008"/>
    <w:rsid w:val="0EB63C8B"/>
    <w:rsid w:val="0F0E7B3C"/>
    <w:rsid w:val="0FAD7143"/>
    <w:rsid w:val="0FBF4992"/>
    <w:rsid w:val="0FC94E39"/>
    <w:rsid w:val="0FFA41EE"/>
    <w:rsid w:val="102F7B06"/>
    <w:rsid w:val="12064AFA"/>
    <w:rsid w:val="124D0A25"/>
    <w:rsid w:val="138F5046"/>
    <w:rsid w:val="14002B4C"/>
    <w:rsid w:val="146168D3"/>
    <w:rsid w:val="14670A70"/>
    <w:rsid w:val="155E51C2"/>
    <w:rsid w:val="157D4D99"/>
    <w:rsid w:val="15861A65"/>
    <w:rsid w:val="162B34FA"/>
    <w:rsid w:val="16A3500D"/>
    <w:rsid w:val="16AB3EF2"/>
    <w:rsid w:val="16F47617"/>
    <w:rsid w:val="1767603B"/>
    <w:rsid w:val="176F2474"/>
    <w:rsid w:val="17A34B99"/>
    <w:rsid w:val="17B87A47"/>
    <w:rsid w:val="17F83137"/>
    <w:rsid w:val="189B1807"/>
    <w:rsid w:val="19766A09"/>
    <w:rsid w:val="19AA6E6D"/>
    <w:rsid w:val="19B948C4"/>
    <w:rsid w:val="1A7D6F90"/>
    <w:rsid w:val="1B0D70EF"/>
    <w:rsid w:val="1B3F1E98"/>
    <w:rsid w:val="1B7366BB"/>
    <w:rsid w:val="1B777A1E"/>
    <w:rsid w:val="1C00075B"/>
    <w:rsid w:val="1CD9533A"/>
    <w:rsid w:val="1D3016AF"/>
    <w:rsid w:val="1D4F3C10"/>
    <w:rsid w:val="1D763C96"/>
    <w:rsid w:val="1E63127C"/>
    <w:rsid w:val="1E8A4F14"/>
    <w:rsid w:val="1EF47D55"/>
    <w:rsid w:val="1EFA59E6"/>
    <w:rsid w:val="1F226DBA"/>
    <w:rsid w:val="1F975C12"/>
    <w:rsid w:val="1FB2006F"/>
    <w:rsid w:val="1FBC7140"/>
    <w:rsid w:val="209C4014"/>
    <w:rsid w:val="20EF08B8"/>
    <w:rsid w:val="21187A1A"/>
    <w:rsid w:val="21285C22"/>
    <w:rsid w:val="216F61CC"/>
    <w:rsid w:val="21B24356"/>
    <w:rsid w:val="22593207"/>
    <w:rsid w:val="22E25C3F"/>
    <w:rsid w:val="231E29B1"/>
    <w:rsid w:val="237613B4"/>
    <w:rsid w:val="23877078"/>
    <w:rsid w:val="24B25A76"/>
    <w:rsid w:val="24B76E63"/>
    <w:rsid w:val="25A641D2"/>
    <w:rsid w:val="25B46FC7"/>
    <w:rsid w:val="25B56CD5"/>
    <w:rsid w:val="25F77871"/>
    <w:rsid w:val="26103A58"/>
    <w:rsid w:val="264458BD"/>
    <w:rsid w:val="26B2792F"/>
    <w:rsid w:val="26C40D72"/>
    <w:rsid w:val="279451D3"/>
    <w:rsid w:val="27947EAF"/>
    <w:rsid w:val="27F967BD"/>
    <w:rsid w:val="27FD64EB"/>
    <w:rsid w:val="288051AE"/>
    <w:rsid w:val="28895184"/>
    <w:rsid w:val="29180B23"/>
    <w:rsid w:val="293A786B"/>
    <w:rsid w:val="2973261D"/>
    <w:rsid w:val="2B0025D7"/>
    <w:rsid w:val="2B1C4F36"/>
    <w:rsid w:val="2BC91F76"/>
    <w:rsid w:val="2C7444ED"/>
    <w:rsid w:val="2CB02B97"/>
    <w:rsid w:val="2CFC226C"/>
    <w:rsid w:val="2CFE66A2"/>
    <w:rsid w:val="2D160AC7"/>
    <w:rsid w:val="2DBC1AC7"/>
    <w:rsid w:val="2E144431"/>
    <w:rsid w:val="2E3D769E"/>
    <w:rsid w:val="2E773B90"/>
    <w:rsid w:val="2EB857A7"/>
    <w:rsid w:val="2F936A4E"/>
    <w:rsid w:val="2FC342C5"/>
    <w:rsid w:val="2FEC4ED7"/>
    <w:rsid w:val="30A669AF"/>
    <w:rsid w:val="30DB21E2"/>
    <w:rsid w:val="312863E3"/>
    <w:rsid w:val="31480380"/>
    <w:rsid w:val="31A95387"/>
    <w:rsid w:val="31EC17E1"/>
    <w:rsid w:val="3204603F"/>
    <w:rsid w:val="32405C1D"/>
    <w:rsid w:val="330D704C"/>
    <w:rsid w:val="331C03AB"/>
    <w:rsid w:val="33A3478D"/>
    <w:rsid w:val="351B44C2"/>
    <w:rsid w:val="352C5D76"/>
    <w:rsid w:val="35C970BC"/>
    <w:rsid w:val="361004C3"/>
    <w:rsid w:val="3665329D"/>
    <w:rsid w:val="373A29CC"/>
    <w:rsid w:val="37A10C9D"/>
    <w:rsid w:val="38262F51"/>
    <w:rsid w:val="38A5174F"/>
    <w:rsid w:val="391536F1"/>
    <w:rsid w:val="394B5F21"/>
    <w:rsid w:val="3A080B60"/>
    <w:rsid w:val="3A562C5F"/>
    <w:rsid w:val="3A804B9A"/>
    <w:rsid w:val="3AB23C0A"/>
    <w:rsid w:val="3B7C23F0"/>
    <w:rsid w:val="3C2406E3"/>
    <w:rsid w:val="3C7D19E5"/>
    <w:rsid w:val="3C8E4303"/>
    <w:rsid w:val="3CFE26EE"/>
    <w:rsid w:val="3D5F10F0"/>
    <w:rsid w:val="3D7379AA"/>
    <w:rsid w:val="3DA85641"/>
    <w:rsid w:val="3F4451D1"/>
    <w:rsid w:val="3FC20213"/>
    <w:rsid w:val="3FCE2739"/>
    <w:rsid w:val="401A4084"/>
    <w:rsid w:val="406825C2"/>
    <w:rsid w:val="406B104F"/>
    <w:rsid w:val="40B72457"/>
    <w:rsid w:val="41FB71FC"/>
    <w:rsid w:val="42197A02"/>
    <w:rsid w:val="429F2D3C"/>
    <w:rsid w:val="43211482"/>
    <w:rsid w:val="43641046"/>
    <w:rsid w:val="43A92F08"/>
    <w:rsid w:val="43BE05BF"/>
    <w:rsid w:val="43EF1849"/>
    <w:rsid w:val="43F65351"/>
    <w:rsid w:val="441B39F2"/>
    <w:rsid w:val="441E4C3C"/>
    <w:rsid w:val="44C15265"/>
    <w:rsid w:val="44F85C75"/>
    <w:rsid w:val="456A4A56"/>
    <w:rsid w:val="45A32E70"/>
    <w:rsid w:val="462A0CF9"/>
    <w:rsid w:val="465A166B"/>
    <w:rsid w:val="470E5446"/>
    <w:rsid w:val="47BF088E"/>
    <w:rsid w:val="48B97C81"/>
    <w:rsid w:val="49397EB3"/>
    <w:rsid w:val="495A2D4B"/>
    <w:rsid w:val="49C23667"/>
    <w:rsid w:val="49F673F3"/>
    <w:rsid w:val="49F941C3"/>
    <w:rsid w:val="4A875AD1"/>
    <w:rsid w:val="4AC547EF"/>
    <w:rsid w:val="4B000335"/>
    <w:rsid w:val="4B1A0B73"/>
    <w:rsid w:val="4B996333"/>
    <w:rsid w:val="4C0A0183"/>
    <w:rsid w:val="4C143C11"/>
    <w:rsid w:val="4C6B4F7E"/>
    <w:rsid w:val="4C9170DB"/>
    <w:rsid w:val="4D50664E"/>
    <w:rsid w:val="4E497E8D"/>
    <w:rsid w:val="4F7B31E5"/>
    <w:rsid w:val="50414974"/>
    <w:rsid w:val="510429AA"/>
    <w:rsid w:val="51295B34"/>
    <w:rsid w:val="513A1AEF"/>
    <w:rsid w:val="51DE0059"/>
    <w:rsid w:val="51E27703"/>
    <w:rsid w:val="51F73ECC"/>
    <w:rsid w:val="52A90AF2"/>
    <w:rsid w:val="532410E0"/>
    <w:rsid w:val="537D16CA"/>
    <w:rsid w:val="5382152B"/>
    <w:rsid w:val="53D1600F"/>
    <w:rsid w:val="5430042B"/>
    <w:rsid w:val="54D2203E"/>
    <w:rsid w:val="55652652"/>
    <w:rsid w:val="55961E7F"/>
    <w:rsid w:val="55EF5B17"/>
    <w:rsid w:val="5617739C"/>
    <w:rsid w:val="56210D1C"/>
    <w:rsid w:val="562C310A"/>
    <w:rsid w:val="57135A34"/>
    <w:rsid w:val="573158BF"/>
    <w:rsid w:val="57345792"/>
    <w:rsid w:val="57574D9F"/>
    <w:rsid w:val="57F55CA9"/>
    <w:rsid w:val="582E1C82"/>
    <w:rsid w:val="58950D9E"/>
    <w:rsid w:val="58C3686E"/>
    <w:rsid w:val="58CB2101"/>
    <w:rsid w:val="597A0C4B"/>
    <w:rsid w:val="59F64A21"/>
    <w:rsid w:val="5A2E7D17"/>
    <w:rsid w:val="5A69790D"/>
    <w:rsid w:val="5A7F4A16"/>
    <w:rsid w:val="5B255F5F"/>
    <w:rsid w:val="5C34456E"/>
    <w:rsid w:val="5D484D15"/>
    <w:rsid w:val="5D4D372F"/>
    <w:rsid w:val="5DFA7745"/>
    <w:rsid w:val="5E570470"/>
    <w:rsid w:val="5E983FF8"/>
    <w:rsid w:val="5F8C1714"/>
    <w:rsid w:val="5FCA0E86"/>
    <w:rsid w:val="5FE1064D"/>
    <w:rsid w:val="600C6F3F"/>
    <w:rsid w:val="606F2E37"/>
    <w:rsid w:val="609A3997"/>
    <w:rsid w:val="60ED275A"/>
    <w:rsid w:val="60EE553E"/>
    <w:rsid w:val="60F10539"/>
    <w:rsid w:val="60F15F42"/>
    <w:rsid w:val="61001CE1"/>
    <w:rsid w:val="612C4DCE"/>
    <w:rsid w:val="6135681A"/>
    <w:rsid w:val="6156034B"/>
    <w:rsid w:val="61C07903"/>
    <w:rsid w:val="623C6ADB"/>
    <w:rsid w:val="624F1172"/>
    <w:rsid w:val="6258728F"/>
    <w:rsid w:val="628A2E37"/>
    <w:rsid w:val="628E7AB6"/>
    <w:rsid w:val="62A41849"/>
    <w:rsid w:val="62A80882"/>
    <w:rsid w:val="634F39D2"/>
    <w:rsid w:val="63511F1B"/>
    <w:rsid w:val="64002703"/>
    <w:rsid w:val="644F756A"/>
    <w:rsid w:val="648A4C60"/>
    <w:rsid w:val="65E2561F"/>
    <w:rsid w:val="66D32372"/>
    <w:rsid w:val="66E14363"/>
    <w:rsid w:val="67687DFC"/>
    <w:rsid w:val="67A02D2F"/>
    <w:rsid w:val="67B6134C"/>
    <w:rsid w:val="67DB0933"/>
    <w:rsid w:val="68085DE2"/>
    <w:rsid w:val="68641E3E"/>
    <w:rsid w:val="689E0314"/>
    <w:rsid w:val="68A64F7A"/>
    <w:rsid w:val="68D34DF7"/>
    <w:rsid w:val="690163A4"/>
    <w:rsid w:val="691629C1"/>
    <w:rsid w:val="692A3F63"/>
    <w:rsid w:val="69807C2A"/>
    <w:rsid w:val="699C192E"/>
    <w:rsid w:val="69F10EF1"/>
    <w:rsid w:val="6A5F216E"/>
    <w:rsid w:val="6A8B6AC0"/>
    <w:rsid w:val="6AC1470F"/>
    <w:rsid w:val="6AF81B7F"/>
    <w:rsid w:val="6B0A20DA"/>
    <w:rsid w:val="6B535D7C"/>
    <w:rsid w:val="6B7359AC"/>
    <w:rsid w:val="6C1825D5"/>
    <w:rsid w:val="6C2018C1"/>
    <w:rsid w:val="6C353CDA"/>
    <w:rsid w:val="6C5418DE"/>
    <w:rsid w:val="6CD10ED5"/>
    <w:rsid w:val="6D340359"/>
    <w:rsid w:val="6DAA1DE2"/>
    <w:rsid w:val="6DCB5DE5"/>
    <w:rsid w:val="6E165A49"/>
    <w:rsid w:val="6E542BF8"/>
    <w:rsid w:val="6E714BC3"/>
    <w:rsid w:val="6E935726"/>
    <w:rsid w:val="6EB608EC"/>
    <w:rsid w:val="6F4C3EA0"/>
    <w:rsid w:val="6FB429EB"/>
    <w:rsid w:val="700B3CF2"/>
    <w:rsid w:val="70846500"/>
    <w:rsid w:val="71E61E87"/>
    <w:rsid w:val="733428CA"/>
    <w:rsid w:val="74650381"/>
    <w:rsid w:val="74A633A2"/>
    <w:rsid w:val="74E03EAC"/>
    <w:rsid w:val="75262E5B"/>
    <w:rsid w:val="75F74FD1"/>
    <w:rsid w:val="760F698C"/>
    <w:rsid w:val="76157D83"/>
    <w:rsid w:val="77A959CF"/>
    <w:rsid w:val="78193DBB"/>
    <w:rsid w:val="785250C1"/>
    <w:rsid w:val="78543B8F"/>
    <w:rsid w:val="78563FAC"/>
    <w:rsid w:val="78AF70A8"/>
    <w:rsid w:val="79416341"/>
    <w:rsid w:val="79AB0370"/>
    <w:rsid w:val="79F044EC"/>
    <w:rsid w:val="7A081EDB"/>
    <w:rsid w:val="7A364A42"/>
    <w:rsid w:val="7BBB771E"/>
    <w:rsid w:val="7BC3200F"/>
    <w:rsid w:val="7E2748F9"/>
    <w:rsid w:val="7E276767"/>
    <w:rsid w:val="7E5C7A06"/>
    <w:rsid w:val="7EDA196C"/>
    <w:rsid w:val="7EE3137A"/>
    <w:rsid w:val="7F5042E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400" w:leftChars="40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34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32"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/>
      <w:b/>
      <w:kern w:val="0"/>
      <w:sz w:val="27"/>
      <w:szCs w:val="27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9"/>
    <w:pPr>
      <w:spacing w:beforeAutospacing="1" w:afterAutospacing="1"/>
      <w:jc w:val="left"/>
      <w:outlineLvl w:val="4"/>
    </w:pPr>
    <w:rPr>
      <w:rFonts w:hint="eastAsia" w:ascii="宋体" w:hAnsi="宋体" w:eastAsia="宋体"/>
      <w:b/>
      <w:kern w:val="0"/>
      <w:sz w:val="20"/>
      <w:szCs w:val="20"/>
    </w:rPr>
  </w:style>
  <w:style w:type="character" w:default="1" w:styleId="23">
    <w:name w:val="Default Paragraph Font"/>
    <w:qFormat/>
    <w:uiPriority w:val="1"/>
  </w:style>
  <w:style w:type="table" w:default="1" w:styleId="21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next w:val="1"/>
    <w:qFormat/>
    <w:uiPriority w:val="99"/>
    <w:pPr>
      <w:spacing w:line="580" w:lineRule="exact"/>
    </w:pPr>
  </w:style>
  <w:style w:type="paragraph" w:styleId="8">
    <w:name w:val="Document Map"/>
    <w:basedOn w:val="1"/>
    <w:qFormat/>
    <w:uiPriority w:val="0"/>
    <w:pPr>
      <w:shd w:val="clear" w:color="auto" w:fill="000080"/>
    </w:pPr>
  </w:style>
  <w:style w:type="paragraph" w:styleId="9">
    <w:name w:val="annotation text"/>
    <w:basedOn w:val="1"/>
    <w:qFormat/>
    <w:uiPriority w:val="99"/>
    <w:pPr>
      <w:jc w:val="left"/>
    </w:pPr>
  </w:style>
  <w:style w:type="paragraph" w:styleId="10">
    <w:name w:val="Body Text"/>
    <w:basedOn w:val="1"/>
    <w:next w:val="1"/>
    <w:link w:val="74"/>
    <w:qFormat/>
    <w:uiPriority w:val="0"/>
    <w:rPr>
      <w:rFonts w:ascii="仿宋_GB2312" w:hAnsi="Times New Roman" w:eastAsia="仿宋_GB2312"/>
      <w:kern w:val="0"/>
      <w:sz w:val="30"/>
    </w:rPr>
  </w:style>
  <w:style w:type="paragraph" w:styleId="11">
    <w:name w:val="toc 3"/>
    <w:basedOn w:val="1"/>
    <w:next w:val="1"/>
    <w:qFormat/>
    <w:uiPriority w:val="39"/>
    <w:pPr>
      <w:ind w:left="840"/>
    </w:pPr>
    <w:rPr>
      <w:rFonts w:eastAsia="微软雅黑"/>
    </w:rPr>
  </w:style>
  <w:style w:type="paragraph" w:styleId="12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13">
    <w:name w:val="Date"/>
    <w:basedOn w:val="1"/>
    <w:next w:val="1"/>
    <w:link w:val="48"/>
    <w:qFormat/>
    <w:uiPriority w:val="0"/>
    <w:pPr>
      <w:ind w:left="100" w:leftChars="2500"/>
    </w:pPr>
  </w:style>
  <w:style w:type="paragraph" w:styleId="14">
    <w:name w:val="Balloon Text"/>
    <w:basedOn w:val="1"/>
    <w:link w:val="44"/>
    <w:qFormat/>
    <w:uiPriority w:val="0"/>
    <w:rPr>
      <w:sz w:val="18"/>
      <w:szCs w:val="18"/>
    </w:rPr>
  </w:style>
  <w:style w:type="paragraph" w:styleId="15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link w:val="63"/>
    <w:qFormat/>
    <w:uiPriority w:val="39"/>
    <w:pPr>
      <w:ind w:left="0" w:leftChars="0"/>
    </w:pPr>
    <w:rPr>
      <w:rFonts w:eastAsia="微软雅黑"/>
    </w:rPr>
  </w:style>
  <w:style w:type="paragraph" w:styleId="18">
    <w:name w:val="footnote text"/>
    <w:basedOn w:val="1"/>
    <w:link w:val="54"/>
    <w:qFormat/>
    <w:uiPriority w:val="99"/>
    <w:pPr>
      <w:snapToGrid w:val="0"/>
      <w:jc w:val="left"/>
    </w:pPr>
    <w:rPr>
      <w:sz w:val="18"/>
      <w:szCs w:val="18"/>
    </w:rPr>
  </w:style>
  <w:style w:type="paragraph" w:styleId="19">
    <w:name w:val="toc 2"/>
    <w:basedOn w:val="1"/>
    <w:next w:val="1"/>
    <w:qFormat/>
    <w:uiPriority w:val="39"/>
    <w:pPr>
      <w:ind w:left="420" w:leftChars="200"/>
    </w:pPr>
    <w:rPr>
      <w:rFonts w:eastAsia="微软雅黑"/>
    </w:rPr>
  </w:style>
  <w:style w:type="paragraph" w:styleId="20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2">
    <w:name w:val="Table Grid"/>
    <w:basedOn w:val="21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4">
    <w:name w:val="Strong"/>
    <w:basedOn w:val="23"/>
    <w:qFormat/>
    <w:uiPriority w:val="22"/>
    <w:rPr>
      <w:b/>
      <w:bCs/>
    </w:rPr>
  </w:style>
  <w:style w:type="character" w:styleId="25">
    <w:name w:val="FollowedHyperlink"/>
    <w:basedOn w:val="23"/>
    <w:qFormat/>
    <w:uiPriority w:val="0"/>
    <w:rPr>
      <w:color w:val="800080"/>
      <w:u w:val="single"/>
    </w:rPr>
  </w:style>
  <w:style w:type="character" w:styleId="26">
    <w:name w:val="Emphasis"/>
    <w:basedOn w:val="23"/>
    <w:qFormat/>
    <w:uiPriority w:val="20"/>
    <w:rPr>
      <w:i/>
      <w:iCs/>
    </w:rPr>
  </w:style>
  <w:style w:type="character" w:styleId="27">
    <w:name w:val="Hyperlink"/>
    <w:basedOn w:val="23"/>
    <w:qFormat/>
    <w:uiPriority w:val="99"/>
    <w:rPr>
      <w:color w:val="0000FF"/>
      <w:u w:val="single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footnote reference"/>
    <w:basedOn w:val="23"/>
    <w:qFormat/>
    <w:uiPriority w:val="99"/>
    <w:rPr>
      <w:vertAlign w:val="superscript"/>
    </w:rPr>
  </w:style>
  <w:style w:type="paragraph" w:customStyle="1" w:styleId="30">
    <w:name w:val="0 动态正文"/>
    <w:basedOn w:val="1"/>
    <w:qFormat/>
    <w:uiPriority w:val="0"/>
    <w:pPr>
      <w:spacing w:line="580" w:lineRule="exact"/>
      <w:ind w:left="0" w:leftChars="0" w:firstLine="560" w:firstLineChars="200"/>
    </w:pPr>
    <w:rPr>
      <w:rFonts w:ascii="Times New Roman" w:hAnsi="Times New Roman" w:eastAsia="仿宋_GB2312"/>
      <w:sz w:val="28"/>
      <w:szCs w:val="28"/>
    </w:rPr>
  </w:style>
  <w:style w:type="paragraph" w:customStyle="1" w:styleId="31">
    <w:name w:val="0 动态标题"/>
    <w:basedOn w:val="1"/>
    <w:next w:val="30"/>
    <w:qFormat/>
    <w:uiPriority w:val="0"/>
    <w:pPr>
      <w:spacing w:line="580" w:lineRule="exact"/>
      <w:ind w:left="0" w:leftChars="0"/>
      <w:outlineLvl w:val="2"/>
    </w:pPr>
    <w:rPr>
      <w:rFonts w:hint="eastAsia" w:ascii="仿宋_GB2312" w:hAnsi="仿宋_GB2312" w:eastAsia="方正仿宋_GBK" w:cs="仿宋_GB2312"/>
      <w:b/>
      <w:bCs/>
      <w:color w:val="000000"/>
      <w:sz w:val="30"/>
      <w:szCs w:val="30"/>
    </w:rPr>
  </w:style>
  <w:style w:type="character" w:customStyle="1" w:styleId="32">
    <w:name w:val="标题 3 字符"/>
    <w:basedOn w:val="23"/>
    <w:link w:val="4"/>
    <w:qFormat/>
    <w:uiPriority w:val="0"/>
    <w:rPr>
      <w:rFonts w:ascii="宋体" w:hAnsi="宋体" w:eastAsia="宋体" w:cs="Times New Roman"/>
      <w:b/>
      <w:sz w:val="27"/>
      <w:szCs w:val="27"/>
    </w:rPr>
  </w:style>
  <w:style w:type="character" w:customStyle="1" w:styleId="33">
    <w:name w:val="标题 1 字符"/>
    <w:basedOn w:val="23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34">
    <w:name w:val="标题 2 字符"/>
    <w:basedOn w:val="23"/>
    <w:link w:val="3"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35">
    <w:name w:val="页眉 字符"/>
    <w:basedOn w:val="23"/>
    <w:link w:val="16"/>
    <w:qFormat/>
    <w:uiPriority w:val="0"/>
    <w:rPr>
      <w:rFonts w:cs="Times New Roman"/>
      <w:sz w:val="18"/>
      <w:szCs w:val="18"/>
    </w:rPr>
  </w:style>
  <w:style w:type="character" w:customStyle="1" w:styleId="36">
    <w:name w:val="页脚 字符"/>
    <w:basedOn w:val="23"/>
    <w:link w:val="15"/>
    <w:qFormat/>
    <w:uiPriority w:val="99"/>
    <w:rPr>
      <w:rFonts w:cs="Times New Roman"/>
      <w:sz w:val="18"/>
      <w:szCs w:val="18"/>
    </w:rPr>
  </w:style>
  <w:style w:type="paragraph" w:customStyle="1" w:styleId="37">
    <w:name w:val="列出段落1"/>
    <w:basedOn w:val="1"/>
    <w:qFormat/>
    <w:uiPriority w:val="0"/>
    <w:pPr>
      <w:ind w:firstLine="420" w:firstLineChars="200"/>
    </w:pPr>
  </w:style>
  <w:style w:type="paragraph" w:customStyle="1" w:styleId="38">
    <w:name w:val="列出段落2"/>
    <w:basedOn w:val="1"/>
    <w:qFormat/>
    <w:uiPriority w:val="0"/>
    <w:pPr>
      <w:ind w:firstLine="420" w:firstLineChars="200"/>
    </w:pPr>
  </w:style>
  <w:style w:type="paragraph" w:customStyle="1" w:styleId="39">
    <w:name w:val="列出段落3"/>
    <w:basedOn w:val="1"/>
    <w:qFormat/>
    <w:uiPriority w:val="34"/>
    <w:pPr>
      <w:ind w:firstLine="420" w:firstLineChars="200"/>
    </w:pPr>
  </w:style>
  <w:style w:type="paragraph" w:customStyle="1" w:styleId="40">
    <w:name w:val="正文格式"/>
    <w:basedOn w:val="1"/>
    <w:qFormat/>
    <w:uiPriority w:val="0"/>
    <w:pPr>
      <w:spacing w:line="586" w:lineRule="exact"/>
      <w:ind w:firstLine="640" w:firstLineChars="200"/>
    </w:pPr>
    <w:rPr>
      <w:rFonts w:ascii="仿宋_GB2312" w:hAnsi="Calibri" w:eastAsia="仿宋_GB2312"/>
      <w:sz w:val="32"/>
      <w:szCs w:val="32"/>
    </w:rPr>
  </w:style>
  <w:style w:type="paragraph" w:customStyle="1" w:styleId="41">
    <w:name w:val="HY-正文"/>
    <w:basedOn w:val="42"/>
    <w:qFormat/>
    <w:uiPriority w:val="0"/>
    <w:rPr>
      <w:rFonts w:ascii="仿宋_GB2312" w:hAnsi="仿宋_GB2312" w:eastAsia="仿宋_GB2312"/>
    </w:rPr>
  </w:style>
  <w:style w:type="paragraph" w:customStyle="1" w:styleId="42">
    <w:name w:val="SG0-正文"/>
    <w:basedOn w:val="1"/>
    <w:qFormat/>
    <w:uiPriority w:val="0"/>
    <w:pPr>
      <w:spacing w:line="580" w:lineRule="exact"/>
      <w:ind w:firstLine="200" w:firstLineChars="200"/>
    </w:pPr>
    <w:rPr>
      <w:rFonts w:ascii="方正仿宋_GBK" w:eastAsia="方正仿宋_GBK"/>
      <w:sz w:val="32"/>
    </w:rPr>
  </w:style>
  <w:style w:type="paragraph" w:styleId="43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宋体"/>
    </w:rPr>
  </w:style>
  <w:style w:type="character" w:customStyle="1" w:styleId="44">
    <w:name w:val="批注框文本 字符"/>
    <w:basedOn w:val="23"/>
    <w:link w:val="14"/>
    <w:qFormat/>
    <w:uiPriority w:val="0"/>
    <w:rPr>
      <w:rFonts w:ascii="等线" w:hAnsi="等线" w:eastAsia="等线" w:cs="Times New Roman"/>
      <w:kern w:val="2"/>
      <w:sz w:val="18"/>
      <w:szCs w:val="18"/>
    </w:rPr>
  </w:style>
  <w:style w:type="paragraph" w:customStyle="1" w:styleId="45">
    <w:name w:val="公文大标题"/>
    <w:basedOn w:val="1"/>
    <w:link w:val="62"/>
    <w:qFormat/>
    <w:uiPriority w:val="0"/>
    <w:pPr>
      <w:jc w:val="center"/>
    </w:pPr>
    <w:rPr>
      <w:rFonts w:ascii="方正小标宋_GBK" w:eastAsia="方正小标宋_GBK"/>
      <w:kern w:val="0"/>
      <w:sz w:val="44"/>
    </w:rPr>
  </w:style>
  <w:style w:type="paragraph" w:customStyle="1" w:styleId="46">
    <w:name w:val="列出段落4"/>
    <w:basedOn w:val="1"/>
    <w:qFormat/>
    <w:uiPriority w:val="0"/>
    <w:pPr>
      <w:ind w:firstLine="420" w:firstLineChars="200"/>
    </w:pPr>
    <w:rPr>
      <w:rFonts w:ascii="Calibri" w:hAnsi="Calibri" w:eastAsia="宋体"/>
      <w:szCs w:val="21"/>
    </w:rPr>
  </w:style>
  <w:style w:type="character" w:customStyle="1" w:styleId="47">
    <w:name w:val="bjh-p"/>
    <w:basedOn w:val="23"/>
    <w:qFormat/>
    <w:uiPriority w:val="0"/>
  </w:style>
  <w:style w:type="character" w:customStyle="1" w:styleId="48">
    <w:name w:val="日期 字符"/>
    <w:basedOn w:val="23"/>
    <w:link w:val="13"/>
    <w:qFormat/>
    <w:uiPriority w:val="0"/>
    <w:rPr>
      <w:rFonts w:ascii="等线" w:hAnsi="等线" w:eastAsia="等线"/>
      <w:kern w:val="2"/>
      <w:sz w:val="21"/>
      <w:szCs w:val="22"/>
    </w:rPr>
  </w:style>
  <w:style w:type="paragraph" w:customStyle="1" w:styleId="49">
    <w:name w:val="Char Char Char Char1 Char Char"/>
    <w:basedOn w:val="1"/>
    <w:qFormat/>
    <w:uiPriority w:val="0"/>
    <w:rPr>
      <w:rFonts w:ascii="Times New Roman" w:hAnsi="Times New Roman" w:eastAsia="宋体"/>
      <w:szCs w:val="24"/>
    </w:rPr>
  </w:style>
  <w:style w:type="character" w:customStyle="1" w:styleId="50">
    <w:name w:val="rich_media_meta"/>
    <w:basedOn w:val="23"/>
    <w:qFormat/>
    <w:uiPriority w:val="0"/>
  </w:style>
  <w:style w:type="character" w:customStyle="1" w:styleId="51">
    <w:name w:val="apple-converted-space"/>
    <w:basedOn w:val="23"/>
    <w:qFormat/>
    <w:uiPriority w:val="0"/>
  </w:style>
  <w:style w:type="paragraph" w:customStyle="1" w:styleId="52">
    <w:name w:val="首行缩进"/>
    <w:basedOn w:val="1"/>
    <w:link w:val="53"/>
    <w:qFormat/>
    <w:uiPriority w:val="0"/>
    <w:pPr>
      <w:spacing w:line="300" w:lineRule="auto"/>
      <w:ind w:firstLine="420" w:firstLineChars="200"/>
    </w:pPr>
    <w:rPr>
      <w:rFonts w:ascii="Calibri" w:hAnsi="Calibri" w:eastAsia="方正书宋_GBK" w:cs="宋体"/>
      <w:kern w:val="0"/>
      <w:sz w:val="20"/>
      <w:szCs w:val="20"/>
    </w:rPr>
  </w:style>
  <w:style w:type="character" w:customStyle="1" w:styleId="53">
    <w:name w:val="首行缩进 Char"/>
    <w:link w:val="52"/>
    <w:qFormat/>
    <w:uiPriority w:val="0"/>
    <w:rPr>
      <w:rFonts w:ascii="Calibri" w:hAnsi="Calibri" w:eastAsia="方正书宋_GBK" w:cs="宋体"/>
    </w:rPr>
  </w:style>
  <w:style w:type="character" w:customStyle="1" w:styleId="54">
    <w:name w:val="脚注文本 字符"/>
    <w:basedOn w:val="23"/>
    <w:link w:val="18"/>
    <w:qFormat/>
    <w:uiPriority w:val="99"/>
    <w:rPr>
      <w:rFonts w:ascii="等线" w:hAnsi="等线" w:eastAsia="等线"/>
      <w:kern w:val="2"/>
      <w:sz w:val="18"/>
      <w:szCs w:val="18"/>
    </w:rPr>
  </w:style>
  <w:style w:type="paragraph" w:customStyle="1" w:styleId="55">
    <w:name w:val="js_darkmode__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6">
    <w:name w:val="bjh-strong2"/>
    <w:basedOn w:val="23"/>
    <w:qFormat/>
    <w:uiPriority w:val="0"/>
    <w:rPr>
      <w:b/>
      <w:bCs/>
      <w:color w:val="333333"/>
      <w:sz w:val="25"/>
      <w:szCs w:val="25"/>
    </w:rPr>
  </w:style>
  <w:style w:type="paragraph" w:customStyle="1" w:styleId="57">
    <w:name w:val="Default"/>
    <w:qFormat/>
    <w:uiPriority w:val="0"/>
    <w:pPr>
      <w:widowControl w:val="0"/>
      <w:autoSpaceDE w:val="0"/>
      <w:autoSpaceDN w:val="0"/>
      <w:adjustRightInd w:val="0"/>
      <w:ind w:left="400" w:leftChars="400"/>
      <w:jc w:val="both"/>
    </w:pPr>
    <w:rPr>
      <w:rFonts w:ascii="黑体" w:hAnsi="黑体" w:eastAsia="宋体" w:cs="黑体"/>
      <w:color w:val="000000"/>
      <w:sz w:val="24"/>
      <w:szCs w:val="24"/>
      <w:lang w:val="en-US" w:eastAsia="zh-CN" w:bidi="ar-SA"/>
    </w:rPr>
  </w:style>
  <w:style w:type="paragraph" w:customStyle="1" w:styleId="58">
    <w:name w:val="封面标准名称"/>
    <w:qFormat/>
    <w:uiPriority w:val="0"/>
    <w:pPr>
      <w:widowControl w:val="0"/>
      <w:spacing w:line="680" w:lineRule="exact"/>
      <w:ind w:left="400" w:leftChars="400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59">
    <w:name w:val="题目小标题"/>
    <w:basedOn w:val="4"/>
    <w:link w:val="60"/>
    <w:qFormat/>
    <w:uiPriority w:val="0"/>
    <w:pPr>
      <w:keepNext/>
      <w:keepLines/>
      <w:spacing w:beforeAutospacing="0" w:afterAutospacing="0" w:line="580" w:lineRule="exact"/>
      <w:jc w:val="center"/>
    </w:pPr>
    <w:rPr>
      <w:rFonts w:hint="default" w:ascii="方正仿宋_GBK" w:hAnsi="仿宋_GB2312" w:eastAsia="方正仿宋_GBK" w:cs="仿宋_GB2312"/>
      <w:sz w:val="30"/>
      <w:szCs w:val="30"/>
    </w:rPr>
  </w:style>
  <w:style w:type="character" w:customStyle="1" w:styleId="60">
    <w:name w:val="题目小标题 Char"/>
    <w:basedOn w:val="32"/>
    <w:link w:val="59"/>
    <w:qFormat/>
    <w:uiPriority w:val="0"/>
    <w:rPr>
      <w:rFonts w:ascii="方正仿宋_GBK" w:hAnsi="仿宋_GB2312" w:eastAsia="方正仿宋_GBK" w:cs="仿宋_GB2312"/>
      <w:sz w:val="30"/>
      <w:szCs w:val="30"/>
    </w:rPr>
  </w:style>
  <w:style w:type="paragraph" w:styleId="61">
    <w:name w:val="No Spacing"/>
    <w:basedOn w:val="1"/>
    <w:link w:val="64"/>
    <w:qFormat/>
    <w:uiPriority w:val="1"/>
    <w:pPr>
      <w:spacing w:line="580" w:lineRule="exact"/>
      <w:ind w:firstLine="640" w:firstLineChars="200"/>
    </w:pPr>
    <w:rPr>
      <w:rFonts w:ascii="方正仿宋_GBK" w:eastAsia="方正仿宋_GBK"/>
      <w:sz w:val="32"/>
      <w:szCs w:val="32"/>
    </w:rPr>
  </w:style>
  <w:style w:type="character" w:customStyle="1" w:styleId="62">
    <w:name w:val="公文大标题 Char"/>
    <w:link w:val="45"/>
    <w:qFormat/>
    <w:uiPriority w:val="0"/>
    <w:rPr>
      <w:rFonts w:ascii="方正小标宋_GBK" w:eastAsia="方正小标宋_GBK"/>
      <w:kern w:val="0"/>
      <w:sz w:val="44"/>
    </w:rPr>
  </w:style>
  <w:style w:type="character" w:customStyle="1" w:styleId="63">
    <w:name w:val="TOC 1 字符"/>
    <w:link w:val="17"/>
    <w:qFormat/>
    <w:uiPriority w:val="39"/>
    <w:rPr>
      <w:rFonts w:ascii="等线" w:hAnsi="等线" w:eastAsia="微软雅黑"/>
    </w:rPr>
  </w:style>
  <w:style w:type="character" w:customStyle="1" w:styleId="64">
    <w:name w:val="无间隔 字符"/>
    <w:link w:val="61"/>
    <w:qFormat/>
    <w:uiPriority w:val="1"/>
    <w:rPr>
      <w:rFonts w:ascii="方正仿宋_GBK" w:eastAsia="方正仿宋_GBK"/>
      <w:sz w:val="32"/>
      <w:szCs w:val="32"/>
    </w:rPr>
  </w:style>
  <w:style w:type="paragraph" w:customStyle="1" w:styleId="65">
    <w:name w:val="p1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66">
    <w:name w:val="题目2小标题"/>
    <w:basedOn w:val="67"/>
    <w:qFormat/>
    <w:uiPriority w:val="0"/>
    <w:pPr>
      <w:ind w:left="0" w:leftChars="0"/>
    </w:pPr>
  </w:style>
  <w:style w:type="paragraph" w:customStyle="1" w:styleId="67">
    <w:name w:val="题目小标题-2"/>
    <w:basedOn w:val="59"/>
    <w:link w:val="68"/>
    <w:qFormat/>
    <w:uiPriority w:val="0"/>
    <w:pPr>
      <w:keepNext w:val="0"/>
      <w:keepLines w:val="0"/>
      <w:jc w:val="both"/>
    </w:pPr>
    <w:rPr>
      <w:bCs/>
    </w:rPr>
  </w:style>
  <w:style w:type="character" w:customStyle="1" w:styleId="68">
    <w:name w:val="题目小标题-2 Char"/>
    <w:basedOn w:val="60"/>
    <w:link w:val="67"/>
    <w:qFormat/>
    <w:uiPriority w:val="0"/>
    <w:rPr>
      <w:rFonts w:ascii="方正仿宋_GBK" w:hAnsi="仿宋_GB2312" w:eastAsia="方正仿宋_GBK" w:cs="仿宋_GB2312"/>
      <w:bCs/>
      <w:sz w:val="30"/>
      <w:szCs w:val="30"/>
    </w:rPr>
  </w:style>
  <w:style w:type="paragraph" w:customStyle="1" w:styleId="69">
    <w:name w:val="No Spacing1"/>
    <w:basedOn w:val="1"/>
    <w:qFormat/>
    <w:uiPriority w:val="0"/>
    <w:pPr>
      <w:spacing w:line="580" w:lineRule="exact"/>
      <w:ind w:left="0" w:leftChars="0" w:firstLine="640" w:firstLineChars="200"/>
    </w:pPr>
    <w:rPr>
      <w:rFonts w:ascii="方正仿宋_GBK" w:hAnsi="Calibri" w:eastAsia="方正仿宋_GBK"/>
      <w:sz w:val="32"/>
      <w:szCs w:val="32"/>
    </w:rPr>
  </w:style>
  <w:style w:type="paragraph" w:customStyle="1" w:styleId="70">
    <w:name w:val="List Paragraph1"/>
    <w:basedOn w:val="1"/>
    <w:qFormat/>
    <w:uiPriority w:val="0"/>
    <w:pPr>
      <w:ind w:left="0" w:leftChars="0" w:firstLine="420" w:firstLineChars="200"/>
    </w:pPr>
    <w:rPr>
      <w:rFonts w:ascii="Calibri" w:hAnsi="Calibri" w:eastAsia="宋体"/>
      <w:szCs w:val="21"/>
    </w:rPr>
  </w:style>
  <w:style w:type="paragraph" w:customStyle="1" w:styleId="71">
    <w:name w:val="简报小标题"/>
    <w:basedOn w:val="59"/>
    <w:link w:val="72"/>
    <w:qFormat/>
    <w:uiPriority w:val="0"/>
    <w:pPr>
      <w:keepNext w:val="0"/>
      <w:keepLines w:val="0"/>
      <w:ind w:left="0" w:leftChars="0"/>
      <w:jc w:val="both"/>
    </w:pPr>
  </w:style>
  <w:style w:type="character" w:customStyle="1" w:styleId="72">
    <w:name w:val="简报小标题 Char"/>
    <w:basedOn w:val="23"/>
    <w:link w:val="71"/>
    <w:qFormat/>
    <w:uiPriority w:val="0"/>
    <w:rPr>
      <w:rFonts w:ascii="方正仿宋_GBK" w:hAnsi="仿宋_GB2312" w:eastAsia="方正仿宋_GBK" w:cs="仿宋_GB2312"/>
      <w:b/>
      <w:sz w:val="30"/>
      <w:szCs w:val="30"/>
    </w:rPr>
  </w:style>
  <w:style w:type="paragraph" w:customStyle="1" w:styleId="73">
    <w:name w:val="TOC 标题1"/>
    <w:basedOn w:val="2"/>
    <w:next w:val="1"/>
    <w:qFormat/>
    <w:uiPriority w:val="39"/>
    <w:pPr>
      <w:keepNext/>
      <w:keepLines/>
      <w:widowControl w:val="0"/>
      <w:spacing w:before="340" w:beforeAutospacing="0" w:after="330" w:afterAutospacing="0" w:line="578" w:lineRule="auto"/>
      <w:jc w:val="both"/>
      <w:outlineLvl w:val="9"/>
    </w:pPr>
    <w:rPr>
      <w:rFonts w:ascii="等线" w:hAnsi="等线" w:eastAsia="等线" w:cs="Times New Roman"/>
      <w:kern w:val="44"/>
      <w:sz w:val="44"/>
      <w:szCs w:val="44"/>
    </w:rPr>
  </w:style>
  <w:style w:type="character" w:customStyle="1" w:styleId="74">
    <w:name w:val="正文文本 字符"/>
    <w:basedOn w:val="23"/>
    <w:link w:val="10"/>
    <w:qFormat/>
    <w:uiPriority w:val="0"/>
    <w:rPr>
      <w:rFonts w:ascii="仿宋_GB2312" w:eastAsia="仿宋_GB2312"/>
      <w:sz w:val="30"/>
      <w:szCs w:val="22"/>
    </w:rPr>
  </w:style>
  <w:style w:type="character" w:customStyle="1" w:styleId="75">
    <w:name w:val="新罗马字体 Char"/>
    <w:link w:val="76"/>
    <w:qFormat/>
    <w:uiPriority w:val="0"/>
    <w:rPr>
      <w:rFonts w:ascii="Times New Roman" w:hAnsi="Times New Roman" w:eastAsia="方正仿宋_GBK" w:cs="Times New Roman"/>
      <w:bCs/>
      <w:color w:val="000000"/>
      <w:sz w:val="30"/>
      <w:szCs w:val="30"/>
    </w:rPr>
  </w:style>
  <w:style w:type="paragraph" w:customStyle="1" w:styleId="76">
    <w:name w:val="新罗马字体"/>
    <w:basedOn w:val="1"/>
    <w:link w:val="75"/>
    <w:qFormat/>
    <w:uiPriority w:val="0"/>
    <w:pPr>
      <w:spacing w:line="580" w:lineRule="exact"/>
      <w:ind w:left="0" w:leftChars="0" w:firstLine="600" w:firstLineChars="200"/>
    </w:pPr>
    <w:rPr>
      <w:rFonts w:ascii="Times New Roman" w:hAnsi="Times New Roman" w:eastAsia="方正仿宋_GBK"/>
      <w:bCs/>
      <w:color w:val="000000"/>
      <w:sz w:val="30"/>
      <w:szCs w:val="30"/>
    </w:rPr>
  </w:style>
  <w:style w:type="paragraph" w:customStyle="1" w:styleId="77">
    <w:name w:val="A：正文一级标题"/>
    <w:basedOn w:val="1"/>
    <w:qFormat/>
    <w:uiPriority w:val="0"/>
    <w:pPr>
      <w:spacing w:line="360" w:lineRule="auto"/>
      <w:ind w:firstLine="643"/>
    </w:pPr>
    <w:rPr>
      <w:rFonts w:ascii="黑体" w:hAnsi="黑体" w:eastAsia="方正楷体_GBK" w:cs="宋体"/>
      <w:b/>
      <w:kern w:val="0"/>
      <w:sz w:val="30"/>
      <w:szCs w:val="28"/>
    </w:rPr>
  </w:style>
  <w:style w:type="paragraph" w:customStyle="1" w:styleId="78">
    <w:name w:val="A：正文"/>
    <w:basedOn w:val="12"/>
    <w:qFormat/>
    <w:uiPriority w:val="0"/>
    <w:pPr>
      <w:spacing w:line="360" w:lineRule="auto"/>
      <w:ind w:firstLine="640"/>
    </w:pPr>
    <w:rPr>
      <w:rFonts w:ascii="Times New Roman" w:hAnsi="Times New Roman" w:eastAsia="仿宋_GB2312" w:cs="宋体"/>
      <w:kern w:val="0"/>
      <w:sz w:val="30"/>
      <w:szCs w:val="24"/>
    </w:rPr>
  </w:style>
  <w:style w:type="character" w:customStyle="1" w:styleId="79">
    <w:name w:val="未处理的提及1"/>
    <w:basedOn w:val="23"/>
    <w:qFormat/>
    <w:uiPriority w:val="99"/>
    <w:rPr>
      <w:color w:val="605E5C"/>
      <w:shd w:val="clear" w:color="auto" w:fill="E1DFDD"/>
    </w:rPr>
  </w:style>
  <w:style w:type="character" w:customStyle="1" w:styleId="80">
    <w:name w:val="Unresolved Mention"/>
    <w:basedOn w:val="23"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3577</Words>
  <Characters>3775</Characters>
  <Paragraphs>357</Paragraphs>
  <TotalTime>5</TotalTime>
  <ScaleCrop>false</ScaleCrop>
  <LinksUpToDate>false</LinksUpToDate>
  <CharactersWithSpaces>3789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2026-02-11T13:53:00Z</dcterms:created>
  <dc:creator>sunshiming</dc:creator>
  <cp:lastModifiedBy>zhixinyu</cp:lastModifiedBy>
  <cp:lastPrinted>2025-06-06T22:56:00Z</cp:lastPrinted>
  <dcterms:modified xsi:type="dcterms:W3CDTF">2026-06-22T01:07:20Z</dcterms:modified>
  <dc:title>××××工作周报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SaveFontToCloudKey">
    <vt:lpwstr>195616285_btnclosed</vt:lpwstr>
  </property>
  <property fmtid="{D5CDD505-2E9C-101B-9397-08002B2CF9AE}" pid="4" name="ICV">
    <vt:lpwstr>9B0E9A99DD5B437B89A6B6A7AEF0CE64_13</vt:lpwstr>
  </property>
  <property fmtid="{D5CDD505-2E9C-101B-9397-08002B2CF9AE}" pid="5" name="KSOTemplateDocerSaveRecord">
    <vt:lpwstr>eyJoZGlkIjoiZjBmMTE0MzNlNzQ1MjE3YmRjZGI1ODQ0MjViMmYxODYiLCJ1c2VySWQiOiIzOTY3NDc5NjkifQ==</vt:lpwstr>
  </property>
</Properties>
</file>