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D8542" w14:textId="77777777" w:rsidR="00F32163" w:rsidRPr="00F32163" w:rsidRDefault="00F32163" w:rsidP="00F32163">
      <w:pPr>
        <w:rPr>
          <w:b/>
          <w:bCs/>
        </w:rPr>
      </w:pPr>
      <w:r w:rsidRPr="00F32163">
        <w:rPr>
          <w:b/>
          <w:bCs/>
        </w:rPr>
        <w:t>审稿意见</w:t>
      </w:r>
    </w:p>
    <w:p w14:paraId="3B1DF770" w14:textId="77777777" w:rsidR="00F32163" w:rsidRPr="00F32163" w:rsidRDefault="00F32163" w:rsidP="00F32163">
      <w:pPr>
        <w:rPr>
          <w:b/>
          <w:bCs/>
        </w:rPr>
      </w:pPr>
      <w:r w:rsidRPr="00F32163">
        <w:rPr>
          <w:b/>
          <w:bCs/>
        </w:rPr>
        <w:t>稿件：High-power continuous-wave optical waveguiding in a semiconductor nanowire</w:t>
      </w:r>
    </w:p>
    <w:p w14:paraId="07AA61F3" w14:textId="77777777" w:rsidR="00F32163" w:rsidRPr="00F32163" w:rsidRDefault="00F32163" w:rsidP="00F32163">
      <w:r w:rsidRPr="00F32163">
        <w:rPr>
          <w:b/>
          <w:bCs/>
        </w:rPr>
        <w:t>期刊：</w:t>
      </w:r>
      <w:r w:rsidRPr="00F32163">
        <w:t> Advanced Photonics Research</w:t>
      </w:r>
    </w:p>
    <w:p w14:paraId="2E7C6E16" w14:textId="77777777" w:rsidR="00F32163" w:rsidRPr="00F32163" w:rsidRDefault="00F32163" w:rsidP="00F32163">
      <w:r w:rsidRPr="00F32163">
        <w:rPr>
          <w:b/>
          <w:bCs/>
        </w:rPr>
        <w:t>建议：</w:t>
      </w:r>
      <w:r w:rsidRPr="00F32163">
        <w:t> 小修后接受</w:t>
      </w:r>
    </w:p>
    <w:p w14:paraId="76980E6B" w14:textId="5BCF6F11" w:rsidR="00F32163" w:rsidRPr="00F32163" w:rsidRDefault="00F32163" w:rsidP="00F32163"/>
    <w:p w14:paraId="426E0333" w14:textId="77777777" w:rsidR="00F32163" w:rsidRPr="00F32163" w:rsidRDefault="00F32163" w:rsidP="00F32163">
      <w:pPr>
        <w:rPr>
          <w:b/>
          <w:bCs/>
        </w:rPr>
      </w:pPr>
      <w:r w:rsidRPr="00F32163">
        <w:rPr>
          <w:b/>
          <w:bCs/>
        </w:rPr>
        <w:t>总体评价</w:t>
      </w:r>
    </w:p>
    <w:p w14:paraId="117D9DC3" w14:textId="3B11BB68" w:rsidR="00F32163" w:rsidRDefault="00F32163" w:rsidP="00F32163">
      <w:r w:rsidRPr="00F32163">
        <w:t>本文在单根</w:t>
      </w:r>
      <w:proofErr w:type="spellStart"/>
      <w:r w:rsidRPr="00F32163">
        <w:t>CdS</w:t>
      </w:r>
      <w:proofErr w:type="spellEnd"/>
      <w:proofErr w:type="gramStart"/>
      <w:r w:rsidRPr="00F32163">
        <w:t>纳米线</w:t>
      </w:r>
      <w:proofErr w:type="gramEnd"/>
      <w:r w:rsidRPr="00F32163">
        <w:t>中实现了2.5 W的连续波光波导，较此前</w:t>
      </w:r>
      <w:proofErr w:type="gramStart"/>
      <w:r w:rsidRPr="00F32163">
        <w:t>纳米线</w:t>
      </w:r>
      <w:proofErr w:type="gramEnd"/>
      <w:r w:rsidRPr="00F32163">
        <w:t>波导的最高报道提升了约四个数量级；同时在</w:t>
      </w:r>
      <w:proofErr w:type="spellStart"/>
      <w:r w:rsidRPr="00F32163">
        <w:t>ZnO</w:t>
      </w:r>
      <w:proofErr w:type="spellEnd"/>
      <w:proofErr w:type="gramStart"/>
      <w:r w:rsidRPr="00F32163">
        <w:t>纳米线</w:t>
      </w:r>
      <w:proofErr w:type="gramEnd"/>
      <w:r w:rsidRPr="00F32163">
        <w:t>中实现了百毫瓦量级的波导功率，并在此基础上展示了CW驱动的二次和三次谐波产生。实验设计简洁，数据可靠，对纳米光子学领域有实质贡献。建议小修后发表。</w:t>
      </w:r>
    </w:p>
    <w:p w14:paraId="3F61A7DB" w14:textId="77777777" w:rsidR="00F32163" w:rsidRPr="00F32163" w:rsidRDefault="00F32163" w:rsidP="00F32163">
      <w:pPr>
        <w:rPr>
          <w:rFonts w:hint="eastAsia"/>
        </w:rPr>
      </w:pPr>
    </w:p>
    <w:p w14:paraId="1B19FA57" w14:textId="77777777" w:rsidR="00F32163" w:rsidRPr="00F32163" w:rsidRDefault="00F32163" w:rsidP="00F32163">
      <w:pPr>
        <w:rPr>
          <w:b/>
          <w:bCs/>
        </w:rPr>
      </w:pPr>
      <w:r w:rsidRPr="00F32163">
        <w:rPr>
          <w:b/>
          <w:bCs/>
        </w:rPr>
        <w:t>主要意见</w:t>
      </w:r>
    </w:p>
    <w:p w14:paraId="4EA58D6F" w14:textId="77777777" w:rsidR="00F32163" w:rsidRPr="00F32163" w:rsidRDefault="00F32163" w:rsidP="00F32163">
      <w:pPr>
        <w:numPr>
          <w:ilvl w:val="0"/>
          <w:numId w:val="1"/>
        </w:numPr>
      </w:pPr>
      <w:r w:rsidRPr="00F32163">
        <w:t>图2c中输出功率与输入功率保持严格的线性关系，直到导波功率达到2.5 W，没有任何热致非线性偏离的迹象。对于一根悬空在空气中的亚波长直径半导体纳米线，在这样的功率水平下我判断会因为吸收发热而出现某种非线性偏离才对。是什么因素保证了整个测试功率范围内的热平衡？</w:t>
      </w:r>
    </w:p>
    <w:p w14:paraId="402FAD25" w14:textId="77777777" w:rsidR="00F32163" w:rsidRPr="00F32163" w:rsidRDefault="00F32163" w:rsidP="00F32163">
      <w:pPr>
        <w:numPr>
          <w:ilvl w:val="0"/>
          <w:numId w:val="1"/>
        </w:numPr>
      </w:pPr>
      <w:r w:rsidRPr="00F32163">
        <w:t>光纤</w:t>
      </w:r>
      <w:proofErr w:type="gramStart"/>
      <w:r w:rsidRPr="00F32163">
        <w:t>锥</w:t>
      </w:r>
      <w:proofErr w:type="gramEnd"/>
      <w:r w:rsidRPr="00F32163">
        <w:t>耦合在高功率耦合方面看起来表现优异，那其耦合效率是由哪些因素决定的？锥角、重叠长度和有效折射率各自发挥什么作用呢？另外，端面耦合方式在类似高功率下常受端面损伤的困扰，看起来光纤锥的倏逝耦合机制并无此困扰，这是为什么？</w:t>
      </w:r>
    </w:p>
    <w:p w14:paraId="00124BC6" w14:textId="77777777" w:rsidR="00F32163" w:rsidRPr="00F32163" w:rsidRDefault="00F32163" w:rsidP="00F32163">
      <w:pPr>
        <w:numPr>
          <w:ilvl w:val="0"/>
          <w:numId w:val="1"/>
        </w:numPr>
      </w:pPr>
      <w:r w:rsidRPr="00F32163">
        <w:t>SHG和THG的转换效率（6.9×10</w:t>
      </w:r>
      <w:r w:rsidRPr="00F32163">
        <w:rPr>
          <w:rFonts w:ascii="Cambria Math" w:hAnsi="Cambria Math" w:cs="Cambria Math"/>
        </w:rPr>
        <w:t>⁻⁶</w:t>
      </w:r>
      <w:r w:rsidRPr="00F32163">
        <w:t>和6.4×10</w:t>
      </w:r>
      <w:r w:rsidRPr="00F32163">
        <w:rPr>
          <w:rFonts w:ascii="Cambria Math" w:hAnsi="Cambria Math" w:cs="Cambria Math"/>
        </w:rPr>
        <w:t>⁻⁸</w:t>
      </w:r>
      <w:r w:rsidRPr="00F32163">
        <w:t>）被描述为与脉冲激发下的结果可比。坦率说，这有些出乎我的意料——脉冲激发下峰值功率密度通常在~GW/cm²量级，而CW条件似乎不具备这种峰值增强，所以CW条件下达到可比效率的物理机制是什么？</w:t>
      </w:r>
    </w:p>
    <w:p w14:paraId="58F18A8C" w14:textId="77777777" w:rsidR="00F32163" w:rsidRDefault="00F32163" w:rsidP="00F32163">
      <w:pPr>
        <w:numPr>
          <w:ilvl w:val="0"/>
          <w:numId w:val="1"/>
        </w:numPr>
      </w:pPr>
      <w:r w:rsidRPr="00F32163">
        <w:t>结论中提到结果"may push semiconductor nanowire photonics into the high-power regime and open new opportunities"，但演示限于</w:t>
      </w:r>
      <w:proofErr w:type="spellStart"/>
      <w:r w:rsidRPr="00F32163">
        <w:t>CdS</w:t>
      </w:r>
      <w:proofErr w:type="spellEnd"/>
      <w:r w:rsidRPr="00F32163">
        <w:t>和</w:t>
      </w:r>
      <w:proofErr w:type="spellStart"/>
      <w:r w:rsidRPr="00F32163">
        <w:t>ZnO</w:t>
      </w:r>
      <w:proofErr w:type="spellEnd"/>
      <w:r w:rsidRPr="00F32163">
        <w:t>在特定波长下的结果。推广到其他半导体</w:t>
      </w:r>
      <w:proofErr w:type="gramStart"/>
      <w:r w:rsidRPr="00F32163">
        <w:t>纳米线</w:t>
      </w:r>
      <w:proofErr w:type="gramEnd"/>
      <w:r w:rsidRPr="00F32163">
        <w:t>材料需要满足哪些条件？作者对此有何看法？</w:t>
      </w:r>
    </w:p>
    <w:p w14:paraId="340FBB21" w14:textId="77777777" w:rsidR="00F32163" w:rsidRPr="00F32163" w:rsidRDefault="00F32163" w:rsidP="00F32163">
      <w:pPr>
        <w:ind w:left="720"/>
        <w:rPr>
          <w:rFonts w:hint="eastAsia"/>
        </w:rPr>
      </w:pPr>
    </w:p>
    <w:p w14:paraId="455D0FBA" w14:textId="77777777" w:rsidR="00F32163" w:rsidRPr="00F32163" w:rsidRDefault="00F32163" w:rsidP="00F32163">
      <w:pPr>
        <w:rPr>
          <w:b/>
          <w:bCs/>
        </w:rPr>
      </w:pPr>
      <w:r w:rsidRPr="00F32163">
        <w:rPr>
          <w:b/>
          <w:bCs/>
        </w:rPr>
        <w:t>次要意见</w:t>
      </w:r>
    </w:p>
    <w:p w14:paraId="1E312525" w14:textId="77777777" w:rsidR="00F32163" w:rsidRPr="00F32163" w:rsidRDefault="00F32163" w:rsidP="00F32163">
      <w:pPr>
        <w:numPr>
          <w:ilvl w:val="0"/>
          <w:numId w:val="2"/>
        </w:numPr>
      </w:pPr>
      <w:r w:rsidRPr="00F32163">
        <w:t>公式(3)中的Varshni拟合参数（α = 0.00059, β = 33.5）缺少单位。</w:t>
      </w:r>
    </w:p>
    <w:p w14:paraId="5E6AB65C" w14:textId="77777777" w:rsidR="00F32163" w:rsidRDefault="00F32163" w:rsidP="00F32163">
      <w:pPr>
        <w:numPr>
          <w:ilvl w:val="0"/>
          <w:numId w:val="2"/>
        </w:numPr>
      </w:pPr>
      <w:r w:rsidRPr="00F32163">
        <w:t>正文中通过图片（如图S2）引用支撑信息，如果能同时标注对应章节编号（S1–S5），定位将会更方便。</w:t>
      </w:r>
    </w:p>
    <w:p w14:paraId="173839FA" w14:textId="77777777" w:rsidR="00C31039" w:rsidRDefault="00C31039" w:rsidP="00C31039"/>
    <w:p w14:paraId="35AFB6C9" w14:textId="77777777" w:rsidR="00C31039" w:rsidRDefault="00C31039" w:rsidP="00C31039"/>
    <w:p w14:paraId="556A033A" w14:textId="77777777" w:rsidR="00C31039" w:rsidRPr="00C31039" w:rsidRDefault="00C31039" w:rsidP="00C31039">
      <w:pPr>
        <w:rPr>
          <w:b/>
          <w:bCs/>
        </w:rPr>
      </w:pPr>
      <w:r w:rsidRPr="00C31039">
        <w:rPr>
          <w:b/>
          <w:bCs/>
        </w:rPr>
        <w:t>General Evaluation</w:t>
      </w:r>
    </w:p>
    <w:p w14:paraId="5F0A9C70" w14:textId="2CB0F0B4" w:rsidR="00C31039" w:rsidRPr="00C31039" w:rsidRDefault="00C31039" w:rsidP="00C31039">
      <w:r w:rsidRPr="00C31039">
        <w:t xml:space="preserve">This paper demonstrates a continuous-wave (CW) optical waveguiding power of 2.5 W in a single </w:t>
      </w:r>
      <w:proofErr w:type="spellStart"/>
      <w:r w:rsidRPr="00C31039">
        <w:t>CdS</w:t>
      </w:r>
      <w:proofErr w:type="spellEnd"/>
      <w:r w:rsidRPr="00C31039">
        <w:t xml:space="preserve"> nanowire, which represents an improvement of approximately four orders of magnitude compared to the highest previously reported values for nanowire waveguides. Additionally, the authors achieved waveguiding powers on the order of hundreds of milliwatts in </w:t>
      </w:r>
      <w:proofErr w:type="spellStart"/>
      <w:r w:rsidRPr="00C31039">
        <w:t>ZnO</w:t>
      </w:r>
      <w:proofErr w:type="spellEnd"/>
      <w:r w:rsidRPr="00C31039">
        <w:t xml:space="preserve"> </w:t>
      </w:r>
      <w:proofErr w:type="gramStart"/>
      <w:r w:rsidRPr="00C31039">
        <w:t>nanowires, and</w:t>
      </w:r>
      <w:proofErr w:type="gramEnd"/>
      <w:r w:rsidRPr="00C31039">
        <w:t xml:space="preserve"> subsequently demonstrated CW-driven second-harmonic generation (SHG) and third-harmonic generation (THG). The experimental design is elegant, the data are reliable, and the work makes a substantial contribution to the field of </w:t>
      </w:r>
      <w:proofErr w:type="spellStart"/>
      <w:r w:rsidRPr="00C31039">
        <w:t>nanophotonics</w:t>
      </w:r>
      <w:proofErr w:type="spellEnd"/>
      <w:r w:rsidRPr="00C31039">
        <w:t>. I recommend publication after minor revisions.</w:t>
      </w:r>
    </w:p>
    <w:p w14:paraId="352062C2" w14:textId="77777777" w:rsidR="00C31039" w:rsidRPr="00C31039" w:rsidRDefault="00C31039" w:rsidP="00C31039">
      <w:pPr>
        <w:rPr>
          <w:b/>
          <w:bCs/>
        </w:rPr>
      </w:pPr>
      <w:r w:rsidRPr="00C31039">
        <w:rPr>
          <w:b/>
          <w:bCs/>
        </w:rPr>
        <w:t>Major Comments</w:t>
      </w:r>
    </w:p>
    <w:p w14:paraId="36797FCC" w14:textId="519C85AD" w:rsidR="00C31039" w:rsidRPr="00C31039" w:rsidRDefault="00C31039" w:rsidP="00C31039">
      <w:pPr>
        <w:numPr>
          <w:ilvl w:val="0"/>
          <w:numId w:val="3"/>
        </w:numPr>
      </w:pPr>
      <w:r w:rsidRPr="00C31039">
        <w:lastRenderedPageBreak/>
        <w:t xml:space="preserve">In Figure 2c, the output power maintains a strictly linear relationship with the input power until the </w:t>
      </w:r>
      <w:r w:rsidR="00CA28B1">
        <w:rPr>
          <w:rFonts w:hint="eastAsia"/>
        </w:rPr>
        <w:t>waveguiding</w:t>
      </w:r>
      <w:r w:rsidRPr="00C31039">
        <w:t xml:space="preserve"> power reaches 2.5 W, without any signs of thermally induced nonlinear deviation. For a subwavelength-diameter semiconductor nanowire suspended in air, I would expect some form of nonlinear deviation to occur at such power levels due to absorption heating. What factors ensure thermal equilibrium across the entire tested power range?</w:t>
      </w:r>
    </w:p>
    <w:p w14:paraId="6E288E59" w14:textId="72794A51" w:rsidR="00C31039" w:rsidRPr="00C31039" w:rsidRDefault="00C31039" w:rsidP="00C31039">
      <w:pPr>
        <w:numPr>
          <w:ilvl w:val="0"/>
          <w:numId w:val="3"/>
        </w:numPr>
      </w:pPr>
      <w:r w:rsidRPr="00C31039">
        <w:t xml:space="preserve">The fiber taper coupling appears to perform exceptionally well for high-power </w:t>
      </w:r>
      <w:r w:rsidR="00CA28B1">
        <w:rPr>
          <w:rFonts w:hint="eastAsia"/>
        </w:rPr>
        <w:t>coupling</w:t>
      </w:r>
      <w:r w:rsidRPr="00C31039">
        <w:t xml:space="preserve">. What factors determine its coupling efficiency? Specifically, what roles do the taper angle, overlap length, and effective refractive index play? Furthermore, </w:t>
      </w:r>
      <w:proofErr w:type="gramStart"/>
      <w:r w:rsidRPr="00C31039">
        <w:t>end-face</w:t>
      </w:r>
      <w:proofErr w:type="gramEnd"/>
      <w:r w:rsidRPr="00C31039">
        <w:t xml:space="preserve"> coupling is often plagued by facet damage at high powers. It seems the evanescent coupling mechanism of the fiber taper is free from this issue—why is that?</w:t>
      </w:r>
    </w:p>
    <w:p w14:paraId="24E9D2FC" w14:textId="46B51952" w:rsidR="00C31039" w:rsidRPr="00C31039" w:rsidRDefault="00C31039" w:rsidP="00C31039">
      <w:pPr>
        <w:numPr>
          <w:ilvl w:val="0"/>
          <w:numId w:val="3"/>
        </w:numPr>
      </w:pPr>
      <w:r w:rsidRPr="00C31039">
        <w:t>The conversion efficiencies of SHG and THG (</w:t>
      </w:r>
      <w:r w:rsidRPr="00F32163">
        <w:t>6.9×10</w:t>
      </w:r>
      <w:r w:rsidRPr="00F32163">
        <w:rPr>
          <w:rFonts w:ascii="Cambria Math" w:hAnsi="Cambria Math" w:cs="Cambria Math"/>
        </w:rPr>
        <w:t>⁻⁶</w:t>
      </w:r>
      <w:r>
        <w:rPr>
          <w:rFonts w:hint="eastAsia"/>
        </w:rPr>
        <w:t xml:space="preserve"> and </w:t>
      </w:r>
      <w:r w:rsidRPr="00F32163">
        <w:t>6.4×10</w:t>
      </w:r>
      <w:r w:rsidRPr="00F32163">
        <w:rPr>
          <w:rFonts w:ascii="Cambria Math" w:hAnsi="Cambria Math" w:cs="Cambria Math"/>
        </w:rPr>
        <w:t>⁻⁸</w:t>
      </w:r>
      <w:r w:rsidRPr="00C31039">
        <w:t>) are described as comparable to results obtained under pulsed excitation. Frankly, this is somewhat surprising to me; pulsed excitation typically yields peak power densities on the order of ~GW/cm², whereas CW conditions do not possess such peak enhancement. What is the underlying physical mechanism that allows comparable efficiencies to be achieved under CW conditions?</w:t>
      </w:r>
    </w:p>
    <w:p w14:paraId="394FE1B1" w14:textId="77777777" w:rsidR="00C31039" w:rsidRPr="00C31039" w:rsidRDefault="00C31039" w:rsidP="00C31039">
      <w:pPr>
        <w:numPr>
          <w:ilvl w:val="0"/>
          <w:numId w:val="3"/>
        </w:numPr>
      </w:pPr>
      <w:r w:rsidRPr="00C31039">
        <w:t xml:space="preserve">The conclusion mentions that the results "may push semiconductor nanowire photonics into the high-power regime and open new opportunities," but the demonstrations are limited to </w:t>
      </w:r>
      <w:proofErr w:type="spellStart"/>
      <w:r w:rsidRPr="00C31039">
        <w:t>CdS</w:t>
      </w:r>
      <w:proofErr w:type="spellEnd"/>
      <w:r w:rsidRPr="00C31039">
        <w:t xml:space="preserve"> and </w:t>
      </w:r>
      <w:proofErr w:type="spellStart"/>
      <w:r w:rsidRPr="00C31039">
        <w:t>ZnO</w:t>
      </w:r>
      <w:proofErr w:type="spellEnd"/>
      <w:r w:rsidRPr="00C31039">
        <w:t xml:space="preserve"> at specific wavelengths. What conditions must be met to generalize these findings to other semiconductor nanowire materials? What are the authors' perspectives on this?</w:t>
      </w:r>
    </w:p>
    <w:p w14:paraId="48921C77" w14:textId="77777777" w:rsidR="00C31039" w:rsidRPr="00C31039" w:rsidRDefault="00C31039" w:rsidP="00C31039">
      <w:pPr>
        <w:rPr>
          <w:b/>
          <w:bCs/>
        </w:rPr>
      </w:pPr>
      <w:r w:rsidRPr="00C31039">
        <w:rPr>
          <w:b/>
          <w:bCs/>
        </w:rPr>
        <w:t>Minor Comments</w:t>
      </w:r>
    </w:p>
    <w:p w14:paraId="285AE0EA" w14:textId="5C6989CD" w:rsidR="00C31039" w:rsidRPr="00C31039" w:rsidRDefault="00C31039" w:rsidP="00C31039">
      <w:pPr>
        <w:numPr>
          <w:ilvl w:val="0"/>
          <w:numId w:val="4"/>
        </w:numPr>
      </w:pPr>
      <w:r w:rsidRPr="00C31039">
        <w:t>The Varshni fitting parameters (</w:t>
      </w:r>
      <w:r w:rsidRPr="00F32163">
        <w:t>α = 0.00059, β = 33.5</w:t>
      </w:r>
      <w:r w:rsidRPr="00C31039">
        <w:t>) in Equation (3) are missing units.</w:t>
      </w:r>
    </w:p>
    <w:p w14:paraId="41734920" w14:textId="77777777" w:rsidR="00C31039" w:rsidRPr="00C31039" w:rsidRDefault="00C31039" w:rsidP="00C31039">
      <w:pPr>
        <w:numPr>
          <w:ilvl w:val="0"/>
          <w:numId w:val="4"/>
        </w:numPr>
      </w:pPr>
      <w:r w:rsidRPr="00C31039">
        <w:t>In the main text, when citing the Supporting Information via figures (e.g., Figure S2), it would be more convenient for navigation if the corresponding section numbers (e.g., S1–S5) were also provided.</w:t>
      </w:r>
    </w:p>
    <w:p w14:paraId="05E21C9B" w14:textId="77777777" w:rsidR="00C31039" w:rsidRPr="00C31039" w:rsidRDefault="00C31039" w:rsidP="00C31039">
      <w:pPr>
        <w:rPr>
          <w:rFonts w:hint="eastAsia"/>
        </w:rPr>
      </w:pPr>
    </w:p>
    <w:p w14:paraId="320DE5A5" w14:textId="77777777" w:rsidR="00FC6FAB" w:rsidRPr="00F32163" w:rsidRDefault="00FC6FAB">
      <w:pPr>
        <w:rPr>
          <w:rFonts w:hint="eastAsia"/>
        </w:rPr>
      </w:pPr>
    </w:p>
    <w:sectPr w:rsidR="00FC6FAB" w:rsidRPr="00F3216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6674"/>
    <w:multiLevelType w:val="multilevel"/>
    <w:tmpl w:val="64B4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253E27"/>
    <w:multiLevelType w:val="multilevel"/>
    <w:tmpl w:val="2CD2C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831644"/>
    <w:multiLevelType w:val="multilevel"/>
    <w:tmpl w:val="BEDC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112A63"/>
    <w:multiLevelType w:val="multilevel"/>
    <w:tmpl w:val="B41E63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4364889">
    <w:abstractNumId w:val="1"/>
  </w:num>
  <w:num w:numId="2" w16cid:durableId="1831214090">
    <w:abstractNumId w:val="3"/>
  </w:num>
  <w:num w:numId="3" w16cid:durableId="2082293985">
    <w:abstractNumId w:val="0"/>
  </w:num>
  <w:num w:numId="4" w16cid:durableId="5391661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F746E"/>
    <w:rsid w:val="00203FF1"/>
    <w:rsid w:val="002B30FA"/>
    <w:rsid w:val="002F746E"/>
    <w:rsid w:val="004D0921"/>
    <w:rsid w:val="00514D2F"/>
    <w:rsid w:val="005F3103"/>
    <w:rsid w:val="0065085D"/>
    <w:rsid w:val="008377EF"/>
    <w:rsid w:val="009F04BB"/>
    <w:rsid w:val="00A8753E"/>
    <w:rsid w:val="00C31039"/>
    <w:rsid w:val="00CA28B1"/>
    <w:rsid w:val="00D057A8"/>
    <w:rsid w:val="00DC438B"/>
    <w:rsid w:val="00E643B2"/>
    <w:rsid w:val="00F22268"/>
    <w:rsid w:val="00F32163"/>
    <w:rsid w:val="00FB5831"/>
    <w:rsid w:val="00FC6F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4CE5F"/>
  <w15:chartTrackingRefBased/>
  <w15:docId w15:val="{2D028783-8B38-410F-9851-92336291C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F746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F746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F746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F746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F746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F746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F746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F746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F746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F746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F746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F746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F746E"/>
    <w:rPr>
      <w:rFonts w:cstheme="majorBidi"/>
      <w:color w:val="0F4761" w:themeColor="accent1" w:themeShade="BF"/>
      <w:sz w:val="28"/>
      <w:szCs w:val="28"/>
    </w:rPr>
  </w:style>
  <w:style w:type="character" w:customStyle="1" w:styleId="50">
    <w:name w:val="标题 5 字符"/>
    <w:basedOn w:val="a0"/>
    <w:link w:val="5"/>
    <w:uiPriority w:val="9"/>
    <w:semiHidden/>
    <w:rsid w:val="002F746E"/>
    <w:rPr>
      <w:rFonts w:cstheme="majorBidi"/>
      <w:color w:val="0F4761" w:themeColor="accent1" w:themeShade="BF"/>
      <w:sz w:val="24"/>
      <w:szCs w:val="24"/>
    </w:rPr>
  </w:style>
  <w:style w:type="character" w:customStyle="1" w:styleId="60">
    <w:name w:val="标题 6 字符"/>
    <w:basedOn w:val="a0"/>
    <w:link w:val="6"/>
    <w:uiPriority w:val="9"/>
    <w:semiHidden/>
    <w:rsid w:val="002F746E"/>
    <w:rPr>
      <w:rFonts w:cstheme="majorBidi"/>
      <w:b/>
      <w:bCs/>
      <w:color w:val="0F4761" w:themeColor="accent1" w:themeShade="BF"/>
    </w:rPr>
  </w:style>
  <w:style w:type="character" w:customStyle="1" w:styleId="70">
    <w:name w:val="标题 7 字符"/>
    <w:basedOn w:val="a0"/>
    <w:link w:val="7"/>
    <w:uiPriority w:val="9"/>
    <w:semiHidden/>
    <w:rsid w:val="002F746E"/>
    <w:rPr>
      <w:rFonts w:cstheme="majorBidi"/>
      <w:b/>
      <w:bCs/>
      <w:color w:val="595959" w:themeColor="text1" w:themeTint="A6"/>
    </w:rPr>
  </w:style>
  <w:style w:type="character" w:customStyle="1" w:styleId="80">
    <w:name w:val="标题 8 字符"/>
    <w:basedOn w:val="a0"/>
    <w:link w:val="8"/>
    <w:uiPriority w:val="9"/>
    <w:semiHidden/>
    <w:rsid w:val="002F746E"/>
    <w:rPr>
      <w:rFonts w:cstheme="majorBidi"/>
      <w:color w:val="595959" w:themeColor="text1" w:themeTint="A6"/>
    </w:rPr>
  </w:style>
  <w:style w:type="character" w:customStyle="1" w:styleId="90">
    <w:name w:val="标题 9 字符"/>
    <w:basedOn w:val="a0"/>
    <w:link w:val="9"/>
    <w:uiPriority w:val="9"/>
    <w:semiHidden/>
    <w:rsid w:val="002F746E"/>
    <w:rPr>
      <w:rFonts w:eastAsiaTheme="majorEastAsia" w:cstheme="majorBidi"/>
      <w:color w:val="595959" w:themeColor="text1" w:themeTint="A6"/>
    </w:rPr>
  </w:style>
  <w:style w:type="paragraph" w:styleId="a3">
    <w:name w:val="Title"/>
    <w:basedOn w:val="a"/>
    <w:next w:val="a"/>
    <w:link w:val="a4"/>
    <w:uiPriority w:val="10"/>
    <w:qFormat/>
    <w:rsid w:val="002F746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F74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F746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F746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F746E"/>
    <w:pPr>
      <w:spacing w:before="160" w:after="160"/>
      <w:jc w:val="center"/>
    </w:pPr>
    <w:rPr>
      <w:i/>
      <w:iCs/>
      <w:color w:val="404040" w:themeColor="text1" w:themeTint="BF"/>
    </w:rPr>
  </w:style>
  <w:style w:type="character" w:customStyle="1" w:styleId="a8">
    <w:name w:val="引用 字符"/>
    <w:basedOn w:val="a0"/>
    <w:link w:val="a7"/>
    <w:uiPriority w:val="29"/>
    <w:rsid w:val="002F746E"/>
    <w:rPr>
      <w:i/>
      <w:iCs/>
      <w:color w:val="404040" w:themeColor="text1" w:themeTint="BF"/>
    </w:rPr>
  </w:style>
  <w:style w:type="paragraph" w:styleId="a9">
    <w:name w:val="List Paragraph"/>
    <w:basedOn w:val="a"/>
    <w:uiPriority w:val="34"/>
    <w:qFormat/>
    <w:rsid w:val="002F746E"/>
    <w:pPr>
      <w:ind w:left="720"/>
      <w:contextualSpacing/>
    </w:pPr>
  </w:style>
  <w:style w:type="character" w:styleId="aa">
    <w:name w:val="Intense Emphasis"/>
    <w:basedOn w:val="a0"/>
    <w:uiPriority w:val="21"/>
    <w:qFormat/>
    <w:rsid w:val="002F746E"/>
    <w:rPr>
      <w:i/>
      <w:iCs/>
      <w:color w:val="0F4761" w:themeColor="accent1" w:themeShade="BF"/>
    </w:rPr>
  </w:style>
  <w:style w:type="paragraph" w:styleId="ab">
    <w:name w:val="Intense Quote"/>
    <w:basedOn w:val="a"/>
    <w:next w:val="a"/>
    <w:link w:val="ac"/>
    <w:uiPriority w:val="30"/>
    <w:qFormat/>
    <w:rsid w:val="002F74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F746E"/>
    <w:rPr>
      <w:i/>
      <w:iCs/>
      <w:color w:val="0F4761" w:themeColor="accent1" w:themeShade="BF"/>
    </w:rPr>
  </w:style>
  <w:style w:type="character" w:styleId="ad">
    <w:name w:val="Intense Reference"/>
    <w:basedOn w:val="a0"/>
    <w:uiPriority w:val="32"/>
    <w:qFormat/>
    <w:rsid w:val="002F74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532</Words>
  <Characters>3036</Characters>
  <Application>Microsoft Office Word</Application>
  <DocSecurity>0</DocSecurity>
  <Lines>25</Lines>
  <Paragraphs>7</Paragraphs>
  <ScaleCrop>false</ScaleCrop>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Hongliang Dang</dc:creator>
  <cp:keywords/>
  <dc:description/>
  <cp:lastModifiedBy>Hongliang Dang</cp:lastModifiedBy>
  <cp:revision>4</cp:revision>
  <dcterms:created xsi:type="dcterms:W3CDTF">2026-06-08T09:11:00Z</dcterms:created>
  <dcterms:modified xsi:type="dcterms:W3CDTF">2026-06-08T09:17:00Z</dcterms:modified>
</cp:coreProperties>
</file>