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B2A4A"/>
          <w:sz w:val="44"/>
          <w:szCs w:val="44"/>
        </w:rPr>
        <w:t xml:space="preserve">RAG PIPELINE EFFICIENCY REPORT</w:t>
      </w:r>
    </w:p>
    <w:p>
      <w:pPr>
        <w:spacing w:after="100"/>
        <w:jc w:val="center"/>
      </w:pPr>
      <w:r>
        <w:rPr>
          <w:b/>
          <w:bCs/>
          <w:color w:val="0E7C7B"/>
          <w:sz w:val="28"/>
          <w:szCs w:val="28"/>
        </w:rPr>
        <w:t xml:space="preserve">Simple Semantic Retrieval vs. Hybrid Retrieval + Reranking</w:t>
      </w:r>
    </w:p>
    <w:p>
      <w:pPr>
        <w:spacing w:after="800"/>
        <w:jc w:val="center"/>
      </w:pPr>
      <w:r>
        <w:rPr>
          <w:i/>
          <w:iCs/>
          <w:color w:val="555555"/>
          <w:sz w:val="22"/>
          <w:szCs w:val="22"/>
        </w:rPr>
        <w:t xml:space="preserve">WeNext Platform Documentation — Q&amp;A Benchmark</w:t>
      </w:r>
    </w:p>
    <w:p>
      <w:pPr>
        <w:spacing w:after="60"/>
        <w:jc w:val="center"/>
      </w:pPr>
      <w:r>
        <w:rPr>
          <w:color w:val="222222"/>
          <w:sz w:val="22"/>
          <w:szCs w:val="22"/>
        </w:rPr>
        <w:t xml:space="preserve">Pipeline A: Manaswi   |   Pipeline B: Kalyan</w:t>
      </w:r>
    </w:p>
    <w:p>
      <w:pPr>
        <w:spacing w:after="60"/>
        <w:jc w:val="center"/>
      </w:pPr>
      <w:r>
        <w:rPr>
          <w:color w:val="222222"/>
          <w:sz w:val="22"/>
          <w:szCs w:val="22"/>
        </w:rPr>
        <w:t xml:space="preserve">Evaluation Framework: RAGAS</w:t>
      </w:r>
    </w:p>
    <w:p>
      <w:pPr>
        <w:spacing w:after="2000"/>
        <w:jc w:val="center"/>
      </w:pPr>
      <w:r>
        <w:rPr>
          <w:color w:val="555555"/>
          <w:sz w:val="20"/>
          <w:szCs w:val="20"/>
        </w:rPr>
        <w:t xml:space="preserve">August 2026</w:t>
      </w:r>
    </w:p>
    <w:p>
      <w:r>
        <w:br w:type="page"/>
      </w:r>
    </w:p>
    <w:p>
      <w:pPr>
        <w:pStyle w:val="Heading1"/>
        <w:pBdr>
          <w:bottom w:val="single" w:color="0E7C7B" w:sz="8" w:space="4"/>
        </w:pBdr>
        <w:spacing w:after="200" w:before="400"/>
      </w:pPr>
      <w:r>
        <w:rPr>
          <w:b/>
          <w:bCs/>
          <w:color w:val="1B2A4A"/>
        </w:rPr>
        <w:t xml:space="preserve">1. Executive Summary</w:t>
      </w:r>
    </w:p>
    <w:p>
      <w:pPr>
        <w:spacing w:after="160"/>
      </w:pPr>
      <w:r>
        <w:rPr>
          <w:b w:val="false"/>
          <w:bCs w:val="false"/>
          <w:i w:val="false"/>
          <w:iCs w:val="false"/>
          <w:color w:val="222222"/>
          <w:sz w:val="22"/>
          <w:szCs w:val="22"/>
        </w:rPr>
        <w:t xml:space="preserve">Two RAG configurations were benchmarked against the same WeNext platform documentation corpus using five identical evaluation questions. Pipeline A uses a lightweight, semantic-only dense retrieval setup, while Pipeline B uses a hybrid BM25 + dense retrieval pipeline fused via Reciprocal Rank Fusion (RRF) and refined with a cross-encoder reranker.</w:t>
      </w:r>
    </w:p>
    <w:p>
      <w:pPr>
        <w:spacing w:after="160"/>
      </w:pPr>
      <w:r>
        <w:rPr>
          <w:b w:val="false"/>
          <w:bCs w:val="false"/>
          <w:i w:val="false"/>
          <w:iCs w:val="false"/>
          <w:color w:val="222222"/>
          <w:sz w:val="22"/>
          <w:szCs w:val="22"/>
        </w:rPr>
        <w:t xml:space="preserve">Pipeline B (Kalyan — Hybrid + Reranker) is the stronger overall system. It wins decisively on Faithfulness (0.894 vs 0.688) and Answer Relevancy (0.920 vs 0.700) — the two metrics that most directly capture whether an answer is trustworthy and on-topic. Pipeline A (Manaswi — Simple Semantic) wins on Context Precision (0.982 vs 0.802) and Context Recall (1.000 vs 0.850), meaning it retrieves more complete and less noisy context on average, but that context does not consistently translate into faithful or relevant answers.</w:t>
      </w:r>
    </w:p>
    <w:p>
      <w:pPr>
        <w:spacing w:after="160"/>
      </w:pPr>
      <w:r>
        <w:rPr>
          <w:b/>
          <w:bCs/>
          <w:i w:val="false"/>
          <w:iCs w:val="false"/>
          <w:color w:val="222222"/>
          <w:sz w:val="22"/>
          <w:szCs w:val="22"/>
        </w:rPr>
        <w:t xml:space="preserve">Verdict: Pipeline B is recommended as the production configuration. Answer faithfulness is the metric that most directly protects end users from hallucinated or unsupported claims, and Pipeline B's ~20-point Faithfulness advantage outweighs Pipeline A's retrieval-side precision/recall edge, which does not consistently convert into better generated answers.</w:t>
      </w:r>
    </w:p>
    <w:p>
      <w:pPr>
        <w:pStyle w:val="Heading1"/>
        <w:pBdr>
          <w:bottom w:val="single" w:color="0E7C7B" w:sz="8" w:space="4"/>
        </w:pBdr>
        <w:spacing w:after="200" w:before="400"/>
      </w:pPr>
      <w:r>
        <w:rPr>
          <w:b/>
          <w:bCs/>
          <w:color w:val="1B2A4A"/>
        </w:rPr>
        <w:t xml:space="preserve">2. Pipeline Configurations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B2A4A" w:val="clear"/>
            <w:tcMar>
              <w:top w:type="dxa" w:w="100"/>
              <w:left w:type="dxa" w:w="120"/>
              <w:bottom w:type="dxa" w:w="100"/>
              <w:right w:type="dxa" w:w="120"/>
            </w:tcMar>
            <w:vAlign w:val="center"/>
          </w:tcPr>
          <w:p>
            <w:pPr>
              <w:jc w:val="center"/>
            </w:pPr>
            <w:r>
              <w:rPr>
                <w:b/>
                <w:bCs/>
                <w:color w:val="FFFFFF"/>
                <w:sz w:val="18"/>
                <w:szCs w:val="18"/>
              </w:rPr>
              <w:t xml:space="preserve">Parameter</w:t>
            </w:r>
          </w:p>
        </w:tc>
        <w:tc>
          <w:tcPr>
            <w:tcW w:type="dxa" w:w="3200"/>
            <w:shd w:fill="1B2A4A" w:val="clear"/>
            <w:tcMar>
              <w:top w:type="dxa" w:w="100"/>
              <w:left w:type="dxa" w:w="120"/>
              <w:bottom w:type="dxa" w:w="100"/>
              <w:right w:type="dxa" w:w="120"/>
            </w:tcMar>
            <w:vAlign w:val="center"/>
          </w:tcPr>
          <w:p>
            <w:pPr>
              <w:jc w:val="center"/>
            </w:pPr>
            <w:r>
              <w:rPr>
                <w:b/>
                <w:bCs/>
                <w:color w:val="FFFFFF"/>
                <w:sz w:val="18"/>
                <w:szCs w:val="18"/>
              </w:rPr>
              <w:t xml:space="preserve">Pipeline A (Manaswi)</w:t>
            </w:r>
          </w:p>
        </w:tc>
        <w:tc>
          <w:tcPr>
            <w:tcW w:type="dxa" w:w="3200"/>
            <w:shd w:fill="1B2A4A" w:val="clear"/>
            <w:tcMar>
              <w:top w:type="dxa" w:w="100"/>
              <w:left w:type="dxa" w:w="120"/>
              <w:bottom w:type="dxa" w:w="100"/>
              <w:right w:type="dxa" w:w="120"/>
            </w:tcMar>
            <w:vAlign w:val="center"/>
          </w:tcPr>
          <w:p>
            <w:pPr>
              <w:jc w:val="center"/>
            </w:pPr>
            <w:r>
              <w:rPr>
                <w:b/>
                <w:bCs/>
                <w:color w:val="FFFFFF"/>
                <w:sz w:val="18"/>
                <w:szCs w:val="18"/>
              </w:rPr>
              <w:t xml:space="preserve">Pipeline B (Kalyan)</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Embedding Model</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BAAI/bge-small-en-v1.5</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BAAI/bge-base-en-v1.5</w:t>
            </w:r>
          </w:p>
        </w:tc>
      </w:tr>
      <w:tr>
        <w:tc>
          <w:tcPr>
            <w:tcW w:type="dxa" w:w="2600"/>
            <w:shd w:fill="F2F2F2" w:val="clear"/>
            <w:tcMar>
              <w:top w:type="dxa" w:w="80"/>
              <w:left w:type="dxa" w:w="120"/>
              <w:bottom w:type="dxa" w:w="80"/>
              <w:right w:type="dxa" w:w="120"/>
            </w:tcMar>
            <w:vAlign w:val="center"/>
          </w:tcPr>
          <w:p>
            <w:pPr>
              <w:jc w:val="left"/>
            </w:pPr>
            <w:r>
              <w:rPr>
                <w:b/>
                <w:bCs/>
                <w:color w:val="000000"/>
                <w:sz w:val="18"/>
                <w:szCs w:val="18"/>
              </w:rPr>
              <w:t xml:space="preserve">Reranker Model</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None</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BAAI/bge-reranker-base</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Chunking Strategy</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Recursive Character Splitter</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Recursive Character Splitter</w:t>
            </w:r>
          </w:p>
        </w:tc>
      </w:tr>
      <w:tr>
        <w:tc>
          <w:tcPr>
            <w:tcW w:type="dxa" w:w="2600"/>
            <w:shd w:fill="F2F2F2" w:val="clear"/>
            <w:tcMar>
              <w:top w:type="dxa" w:w="80"/>
              <w:left w:type="dxa" w:w="120"/>
              <w:bottom w:type="dxa" w:w="80"/>
              <w:right w:type="dxa" w:w="120"/>
            </w:tcMar>
            <w:vAlign w:val="center"/>
          </w:tcPr>
          <w:p>
            <w:pPr>
              <w:jc w:val="left"/>
            </w:pPr>
            <w:r>
              <w:rPr>
                <w:b/>
                <w:bCs/>
                <w:color w:val="000000"/>
                <w:sz w:val="18"/>
                <w:szCs w:val="18"/>
              </w:rPr>
              <w:t xml:space="preserve">Chunk Size / Overlap</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800 / 150</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400 / 50</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LLM</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llama-3.3-70b-versatile</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llama-3.3-70b-versatile</w:t>
            </w:r>
          </w:p>
        </w:tc>
      </w:tr>
      <w:tr>
        <w:tc>
          <w:tcPr>
            <w:tcW w:type="dxa" w:w="2600"/>
            <w:shd w:fill="F2F2F2" w:val="clear"/>
            <w:tcMar>
              <w:top w:type="dxa" w:w="80"/>
              <w:left w:type="dxa" w:w="120"/>
              <w:bottom w:type="dxa" w:w="80"/>
              <w:right w:type="dxa" w:w="120"/>
            </w:tcMar>
            <w:vAlign w:val="center"/>
          </w:tcPr>
          <w:p>
            <w:pPr>
              <w:jc w:val="left"/>
            </w:pPr>
            <w:r>
              <w:rPr>
                <w:b/>
                <w:bCs/>
                <w:color w:val="000000"/>
                <w:sz w:val="18"/>
                <w:szCs w:val="18"/>
              </w:rPr>
              <w:t xml:space="preserve">Vector DB</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ChromaDB</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ChromaDB</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Retrieval Mode</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Semantic (dense-only)</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Hybrid (BM25 + Dense, RRF fusion)</w:t>
            </w:r>
          </w:p>
        </w:tc>
      </w:tr>
      <w:tr>
        <w:tc>
          <w:tcPr>
            <w:tcW w:type="dxa" w:w="2600"/>
            <w:shd w:fill="F2F2F2" w:val="clear"/>
            <w:tcMar>
              <w:top w:type="dxa" w:w="80"/>
              <w:left w:type="dxa" w:w="120"/>
              <w:bottom w:type="dxa" w:w="80"/>
              <w:right w:type="dxa" w:w="120"/>
            </w:tcMar>
            <w:vAlign w:val="center"/>
          </w:tcPr>
          <w:p>
            <w:pPr>
              <w:jc w:val="left"/>
            </w:pPr>
            <w:r>
              <w:rPr>
                <w:b/>
                <w:bCs/>
                <w:color w:val="000000"/>
                <w:sz w:val="18"/>
                <w:szCs w:val="18"/>
              </w:rPr>
              <w:t xml:space="preserve">Retrieval Depth</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Top-K = 8</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Dense Top-K = 20, BM25 Top-K = 20</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Fusion</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Reciprocal Rank Fusion, RRF K = 60</w:t>
            </w:r>
          </w:p>
        </w:tc>
      </w:tr>
      <w:tr>
        <w:tc>
          <w:tcPr>
            <w:tcW w:type="dxa" w:w="2600"/>
            <w:shd w:fill="F2F2F2" w:val="clear"/>
            <w:tcMar>
              <w:top w:type="dxa" w:w="80"/>
              <w:left w:type="dxa" w:w="120"/>
              <w:bottom w:type="dxa" w:w="80"/>
              <w:right w:type="dxa" w:w="120"/>
            </w:tcMar>
            <w:vAlign w:val="center"/>
          </w:tcPr>
          <w:p>
            <w:pPr>
              <w:jc w:val="left"/>
            </w:pPr>
            <w:r>
              <w:rPr>
                <w:b/>
                <w:bCs/>
                <w:color w:val="000000"/>
                <w:sz w:val="18"/>
                <w:szCs w:val="18"/>
              </w:rPr>
              <w:t xml:space="preserve">Final Context Size</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8 chunks</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Top-N = 6 (post-rerank)</w:t>
            </w:r>
          </w:p>
        </w:tc>
      </w:tr>
      <w:tr>
        <w:tc>
          <w:tcPr>
            <w:tcW w:type="dxa" w:w="2600"/>
            <w:shd w:fill="FFFFFF" w:val="clear"/>
            <w:tcMar>
              <w:top w:type="dxa" w:w="80"/>
              <w:left w:type="dxa" w:w="120"/>
              <w:bottom w:type="dxa" w:w="80"/>
              <w:right w:type="dxa" w:w="120"/>
            </w:tcMar>
            <w:vAlign w:val="center"/>
          </w:tcPr>
          <w:p>
            <w:pPr>
              <w:jc w:val="left"/>
            </w:pPr>
            <w:r>
              <w:rPr>
                <w:b/>
                <w:bCs/>
                <w:color w:val="000000"/>
                <w:sz w:val="18"/>
                <w:szCs w:val="18"/>
              </w:rPr>
              <w:t xml:space="preserve">Temperature</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0.1</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Not specified</w:t>
            </w:r>
          </w:p>
        </w:tc>
      </w:tr>
    </w:tbl>
    <w:p>
      <w:pPr>
        <w:pStyle w:val="Heading1"/>
        <w:pBdr>
          <w:bottom w:val="single" w:color="0E7C7B" w:sz="8" w:space="4"/>
        </w:pBdr>
        <w:spacing w:after="200" w:before="400"/>
      </w:pPr>
      <w:r>
        <w:rPr>
          <w:b/>
          <w:bCs/>
          <w:color w:val="1B2A4A"/>
        </w:rPr>
        <w:t xml:space="preserve">3. Per-Question Evaluation Scores</w:t>
      </w:r>
    </w:p>
    <w:p>
      <w:pPr>
        <w:pStyle w:val="Heading2"/>
        <w:spacing w:after="140" w:before="280"/>
      </w:pPr>
      <w:r>
        <w:rPr>
          <w:b/>
          <w:bCs/>
          <w:color w:val="0E7C7B"/>
        </w:rPr>
        <w:t xml:space="preserve">3.1 Pipeline A — Simple Semantic RAG (Manaswi)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933"/>
        <w:gridCol w:w="933"/>
        <w:gridCol w:w="933"/>
        <w:gridCol w:w="933"/>
        <w:gridCol w:w="933"/>
        <w:gridCol w:w="933"/>
      </w:tblGrid>
      <w:tr>
        <w:trPr>
          <w:tblHeader/>
        </w:trPr>
        <w:tc>
          <w:tcPr>
            <w:tcW w:type="dxa" w:w="3400"/>
            <w:shd w:fill="1B2A4A" w:val="clear"/>
            <w:tcMar>
              <w:top w:type="dxa" w:w="100"/>
              <w:left w:type="dxa" w:w="120"/>
              <w:bottom w:type="dxa" w:w="100"/>
              <w:right w:type="dxa" w:w="120"/>
            </w:tcMar>
            <w:vAlign w:val="center"/>
          </w:tcPr>
          <w:p>
            <w:pPr>
              <w:jc w:val="center"/>
            </w:pPr>
            <w:r>
              <w:rPr>
                <w:b/>
                <w:bCs/>
                <w:color w:val="FFFFFF"/>
                <w:sz w:val="18"/>
                <w:szCs w:val="18"/>
              </w:rPr>
              <w:t xml:space="preserve">Question</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Faithfulness</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AnswerRelevancy</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ContextPrecision</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ContextRecall</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EntityRecall</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AnswerCorrectness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Q1. Primary purpose of the WeNext Dashboard</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0.500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0.740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0.890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0.800</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Q2. Dashboard access after sign-up &amp; capabilities</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0.730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0.910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0.690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0.780</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Q3. Where to manage automations in WeNext</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0.660</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Q4. Social media channels supported in WeNext Inbox</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0.660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0.820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0.580</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Q5. How the Inbox handles multi-platform conversations</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0.730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0.730</w:t>
            </w:r>
          </w:p>
        </w:tc>
      </w:tr>
    </w:tbl>
    <w:p>
      <w:pPr>
        <w:spacing w:after="300"/>
      </w:pPr>
    </w:p>
    <w:p>
      <w:pPr>
        <w:pStyle w:val="Heading2"/>
        <w:spacing w:after="140" w:before="280"/>
      </w:pPr>
      <w:r>
        <w:rPr>
          <w:b/>
          <w:bCs/>
          <w:color w:val="0E7C7B"/>
        </w:rPr>
        <w:t xml:space="preserve">3.2 Pipeline B — Hybrid RAG + Reranker (Kalyan)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933"/>
        <w:gridCol w:w="933"/>
        <w:gridCol w:w="933"/>
        <w:gridCol w:w="933"/>
        <w:gridCol w:w="933"/>
        <w:gridCol w:w="933"/>
      </w:tblGrid>
      <w:tr>
        <w:trPr>
          <w:tblHeader/>
        </w:trPr>
        <w:tc>
          <w:tcPr>
            <w:tcW w:type="dxa" w:w="3400"/>
            <w:shd w:fill="1B2A4A" w:val="clear"/>
            <w:tcMar>
              <w:top w:type="dxa" w:w="100"/>
              <w:left w:type="dxa" w:w="120"/>
              <w:bottom w:type="dxa" w:w="100"/>
              <w:right w:type="dxa" w:w="120"/>
            </w:tcMar>
            <w:vAlign w:val="center"/>
          </w:tcPr>
          <w:p>
            <w:pPr>
              <w:jc w:val="center"/>
            </w:pPr>
            <w:r>
              <w:rPr>
                <w:b/>
                <w:bCs/>
                <w:color w:val="FFFFFF"/>
                <w:sz w:val="18"/>
                <w:szCs w:val="18"/>
              </w:rPr>
              <w:t xml:space="preserve">Question</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Faithfulness</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AnswerRelevancy</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ContextPrecision</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ContextRecall</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ContextEntityRecall</w:t>
            </w:r>
          </w:p>
        </w:tc>
        <w:tc>
          <w:tcPr>
            <w:tcW w:type="dxa" w:w="933"/>
            <w:shd w:fill="1B2A4A" w:val="clear"/>
            <w:tcMar>
              <w:top w:type="dxa" w:w="100"/>
              <w:left w:type="dxa" w:w="120"/>
              <w:bottom w:type="dxa" w:w="100"/>
              <w:right w:type="dxa" w:w="120"/>
            </w:tcMar>
            <w:vAlign w:val="center"/>
          </w:tcPr>
          <w:p>
            <w:pPr>
              <w:jc w:val="center"/>
            </w:pPr>
            <w:r>
              <w:rPr>
                <w:b/>
                <w:bCs/>
                <w:color w:val="FFFFFF"/>
                <w:sz w:val="18"/>
                <w:szCs w:val="18"/>
              </w:rPr>
              <w:t xml:space="preserve">NoiseSensitivity</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Q1. Primary purpose of the WeNext Dashboard</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0.000</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Q2. Dashboard access after sign-up &amp; capabilities</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0.860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0.750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0.140</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Q3. Where to manage automations in WeNext</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0.000</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Q4. Social media channels supported in WeNext Inbox</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0.750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0.670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0.500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0.800</w:t>
            </w:r>
          </w:p>
        </w:tc>
        <w:tc>
          <w:tcPr>
            <w:tcW w:type="dxa" w:w="933"/>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0.250</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Q5. How the Inbox handles multi-platform conversations</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0.860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1.000</w:t>
            </w:r>
          </w:p>
        </w:tc>
        <w:tc>
          <w:tcPr>
            <w:tcW w:type="dxa" w:w="933"/>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0.000</w:t>
            </w:r>
          </w:p>
        </w:tc>
      </w:tr>
    </w:tbl>
    <w:p>
      <w:pPr>
        <w:pStyle w:val="Heading1"/>
        <w:pBdr>
          <w:bottom w:val="single" w:color="0E7C7B" w:sz="8" w:space="4"/>
        </w:pBdr>
        <w:spacing w:after="200" w:before="400"/>
      </w:pPr>
      <w:r>
        <w:rPr>
          <w:b/>
          <w:bCs/>
          <w:color w:val="1B2A4A"/>
        </w:rPr>
        <w:t xml:space="preserve">4. Average Score Comparison</w:t>
      </w:r>
    </w:p>
    <w:p>
      <w:pPr>
        <w:spacing w:after="160"/>
      </w:pPr>
      <w:r>
        <w:rPr>
          <w:b w:val="false"/>
          <w:bCs w:val="false"/>
          <w:i/>
          <w:iCs/>
          <w:color w:val="222222"/>
          <w:sz w:val="20"/>
          <w:szCs w:val="20"/>
        </w:rPr>
        <w:t xml:space="preserve">Note: the two runs used slightly different RAGAS metric sets (Pipeline A reports Entity Recall and Answer Correctness; Pipeline B reports Context Entity Recall and Noise Sensitivity). Entity Recall and Context Entity Recall measure the same underlying concept and are compared directly below; Answer Correctness and Noise Sensitivity are reported separately since they have no counterpart in the other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B2A4A" w:val="clear"/>
            <w:tcMar>
              <w:top w:type="dxa" w:w="100"/>
              <w:left w:type="dxa" w:w="120"/>
              <w:bottom w:type="dxa" w:w="100"/>
              <w:right w:type="dxa" w:w="120"/>
            </w:tcMar>
            <w:vAlign w:val="center"/>
          </w:tcPr>
          <w:p>
            <w:pPr>
              <w:jc w:val="center"/>
            </w:pPr>
            <w:r>
              <w:rPr>
                <w:b/>
                <w:bCs/>
                <w:color w:val="FFFFFF"/>
                <w:sz w:val="18"/>
                <w:szCs w:val="18"/>
              </w:rPr>
              <w:t xml:space="preserve">Metric (shared, higher = better)</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Pipeline A</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Pipeline B</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Winner</w:t>
            </w:r>
          </w:p>
        </w:tc>
      </w:tr>
      <w:tr>
        <w:tc>
          <w:tcPr>
            <w:tcW w:type="dxa" w:w="3000"/>
            <w:shd w:fill="FFFFFF" w:val="clear"/>
            <w:tcMar>
              <w:top w:type="dxa" w:w="80"/>
              <w:left w:type="dxa" w:w="120"/>
              <w:bottom w:type="dxa" w:w="80"/>
              <w:right w:type="dxa" w:w="120"/>
            </w:tcMar>
            <w:vAlign w:val="center"/>
          </w:tcPr>
          <w:p>
            <w:pPr>
              <w:jc w:val="left"/>
            </w:pPr>
            <w:r>
              <w:rPr>
                <w:b/>
                <w:bCs/>
                <w:color w:val="000000"/>
                <w:sz w:val="18"/>
                <w:szCs w:val="18"/>
              </w:rPr>
              <w:t xml:space="preserve">Faithfulness</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0.688</w:t>
            </w:r>
          </w:p>
        </w:tc>
        <w:tc>
          <w:tcPr>
            <w:tcW w:type="dxa" w:w="2000"/>
            <w:shd w:fill="FFFFFF" w:val="clear"/>
            <w:tcMar>
              <w:top w:type="dxa" w:w="80"/>
              <w:left w:type="dxa" w:w="120"/>
              <w:bottom w:type="dxa" w:w="80"/>
              <w:right w:type="dxa" w:w="120"/>
            </w:tcMar>
            <w:vAlign w:val="center"/>
          </w:tcPr>
          <w:p>
            <w:pPr>
              <w:jc w:val="center"/>
            </w:pPr>
            <w:r>
              <w:rPr>
                <w:b/>
                <w:bCs/>
                <w:color w:val="1E8449"/>
                <w:sz w:val="18"/>
                <w:szCs w:val="18"/>
              </w:rPr>
              <w:t xml:space="preserve">0.894</w:t>
            </w:r>
          </w:p>
        </w:tc>
        <w:tc>
          <w:tcPr>
            <w:tcW w:type="dxa" w:w="2000"/>
            <w:shd w:fill="FFFFFF" w:val="clear"/>
            <w:tcMar>
              <w:top w:type="dxa" w:w="80"/>
              <w:left w:type="dxa" w:w="120"/>
              <w:bottom w:type="dxa" w:w="80"/>
              <w:right w:type="dxa" w:w="120"/>
            </w:tcMar>
            <w:vAlign w:val="center"/>
          </w:tcPr>
          <w:p>
            <w:pPr>
              <w:jc w:val="center"/>
            </w:pPr>
            <w:r>
              <w:rPr>
                <w:b/>
                <w:bCs/>
                <w:color w:val="1E8449"/>
                <w:sz w:val="18"/>
                <w:szCs w:val="18"/>
              </w:rPr>
              <w:t xml:space="preserve">Pipeline B</w:t>
            </w:r>
          </w:p>
        </w:tc>
      </w:tr>
      <w:tr>
        <w:tc>
          <w:tcPr>
            <w:tcW w:type="dxa" w:w="3000"/>
            <w:shd w:fill="F2F2F2" w:val="clear"/>
            <w:tcMar>
              <w:top w:type="dxa" w:w="80"/>
              <w:left w:type="dxa" w:w="120"/>
              <w:bottom w:type="dxa" w:w="80"/>
              <w:right w:type="dxa" w:w="120"/>
            </w:tcMar>
            <w:vAlign w:val="center"/>
          </w:tcPr>
          <w:p>
            <w:pPr>
              <w:jc w:val="left"/>
            </w:pPr>
            <w:r>
              <w:rPr>
                <w:b/>
                <w:bCs/>
                <w:color w:val="000000"/>
                <w:sz w:val="18"/>
                <w:szCs w:val="18"/>
              </w:rPr>
              <w:t xml:space="preserve">Answer Relevancy</w:t>
            </w:r>
          </w:p>
        </w:tc>
        <w:tc>
          <w:tcPr>
            <w:tcW w:type="dxa" w:w="2000"/>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0.700</w:t>
            </w:r>
          </w:p>
        </w:tc>
        <w:tc>
          <w:tcPr>
            <w:tcW w:type="dxa" w:w="2000"/>
            <w:shd w:fill="F2F2F2" w:val="clear"/>
            <w:tcMar>
              <w:top w:type="dxa" w:w="80"/>
              <w:left w:type="dxa" w:w="120"/>
              <w:bottom w:type="dxa" w:w="80"/>
              <w:right w:type="dxa" w:w="120"/>
            </w:tcMar>
            <w:vAlign w:val="center"/>
          </w:tcPr>
          <w:p>
            <w:pPr>
              <w:jc w:val="center"/>
            </w:pPr>
            <w:r>
              <w:rPr>
                <w:b/>
                <w:bCs/>
                <w:color w:val="1E8449"/>
                <w:sz w:val="18"/>
                <w:szCs w:val="18"/>
              </w:rPr>
              <w:t xml:space="preserve">0.920</w:t>
            </w:r>
          </w:p>
        </w:tc>
        <w:tc>
          <w:tcPr>
            <w:tcW w:type="dxa" w:w="2000"/>
            <w:shd w:fill="F2F2F2" w:val="clear"/>
            <w:tcMar>
              <w:top w:type="dxa" w:w="80"/>
              <w:left w:type="dxa" w:w="120"/>
              <w:bottom w:type="dxa" w:w="80"/>
              <w:right w:type="dxa" w:w="120"/>
            </w:tcMar>
            <w:vAlign w:val="center"/>
          </w:tcPr>
          <w:p>
            <w:pPr>
              <w:jc w:val="center"/>
            </w:pPr>
            <w:r>
              <w:rPr>
                <w:b/>
                <w:bCs/>
                <w:color w:val="1E8449"/>
                <w:sz w:val="18"/>
                <w:szCs w:val="18"/>
              </w:rPr>
              <w:t xml:space="preserve">Pipeline B</w:t>
            </w:r>
          </w:p>
        </w:tc>
      </w:tr>
      <w:tr>
        <w:tc>
          <w:tcPr>
            <w:tcW w:type="dxa" w:w="3000"/>
            <w:shd w:fill="FFFFFF" w:val="clear"/>
            <w:tcMar>
              <w:top w:type="dxa" w:w="80"/>
              <w:left w:type="dxa" w:w="120"/>
              <w:bottom w:type="dxa" w:w="80"/>
              <w:right w:type="dxa" w:w="120"/>
            </w:tcMar>
            <w:vAlign w:val="center"/>
          </w:tcPr>
          <w:p>
            <w:pPr>
              <w:jc w:val="left"/>
            </w:pPr>
            <w:r>
              <w:rPr>
                <w:b/>
                <w:bCs/>
                <w:color w:val="000000"/>
                <w:sz w:val="18"/>
                <w:szCs w:val="18"/>
              </w:rPr>
              <w:t xml:space="preserve">Context Precision</w:t>
            </w:r>
          </w:p>
        </w:tc>
        <w:tc>
          <w:tcPr>
            <w:tcW w:type="dxa" w:w="2000"/>
            <w:shd w:fill="FFFFFF" w:val="clear"/>
            <w:tcMar>
              <w:top w:type="dxa" w:w="80"/>
              <w:left w:type="dxa" w:w="120"/>
              <w:bottom w:type="dxa" w:w="80"/>
              <w:right w:type="dxa" w:w="120"/>
            </w:tcMar>
            <w:vAlign w:val="center"/>
          </w:tcPr>
          <w:p>
            <w:pPr>
              <w:jc w:val="center"/>
            </w:pPr>
            <w:r>
              <w:rPr>
                <w:b/>
                <w:bCs/>
                <w:color w:val="1E8449"/>
                <w:sz w:val="18"/>
                <w:szCs w:val="18"/>
              </w:rPr>
              <w:t xml:space="preserve">0.982</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0.802</w:t>
            </w:r>
          </w:p>
        </w:tc>
        <w:tc>
          <w:tcPr>
            <w:tcW w:type="dxa" w:w="2000"/>
            <w:shd w:fill="FFFFFF" w:val="clear"/>
            <w:tcMar>
              <w:top w:type="dxa" w:w="80"/>
              <w:left w:type="dxa" w:w="120"/>
              <w:bottom w:type="dxa" w:w="80"/>
              <w:right w:type="dxa" w:w="120"/>
            </w:tcMar>
            <w:vAlign w:val="center"/>
          </w:tcPr>
          <w:p>
            <w:pPr>
              <w:jc w:val="center"/>
            </w:pPr>
            <w:r>
              <w:rPr>
                <w:b/>
                <w:bCs/>
                <w:color w:val="C0392B"/>
                <w:sz w:val="18"/>
                <w:szCs w:val="18"/>
              </w:rPr>
              <w:t xml:space="preserve">Pipeline A</w:t>
            </w:r>
          </w:p>
        </w:tc>
      </w:tr>
      <w:tr>
        <w:tc>
          <w:tcPr>
            <w:tcW w:type="dxa" w:w="3000"/>
            <w:shd w:fill="F2F2F2" w:val="clear"/>
            <w:tcMar>
              <w:top w:type="dxa" w:w="80"/>
              <w:left w:type="dxa" w:w="120"/>
              <w:bottom w:type="dxa" w:w="80"/>
              <w:right w:type="dxa" w:w="120"/>
            </w:tcMar>
            <w:vAlign w:val="center"/>
          </w:tcPr>
          <w:p>
            <w:pPr>
              <w:jc w:val="left"/>
            </w:pPr>
            <w:r>
              <w:rPr>
                <w:b/>
                <w:bCs/>
                <w:color w:val="000000"/>
                <w:sz w:val="18"/>
                <w:szCs w:val="18"/>
              </w:rPr>
              <w:t xml:space="preserve">Context Recall</w:t>
            </w:r>
          </w:p>
        </w:tc>
        <w:tc>
          <w:tcPr>
            <w:tcW w:type="dxa" w:w="2000"/>
            <w:shd w:fill="F2F2F2" w:val="clear"/>
            <w:tcMar>
              <w:top w:type="dxa" w:w="80"/>
              <w:left w:type="dxa" w:w="120"/>
              <w:bottom w:type="dxa" w:w="80"/>
              <w:right w:type="dxa" w:w="120"/>
            </w:tcMar>
            <w:vAlign w:val="center"/>
          </w:tcPr>
          <w:p>
            <w:pPr>
              <w:jc w:val="center"/>
            </w:pPr>
            <w:r>
              <w:rPr>
                <w:b/>
                <w:bCs/>
                <w:color w:val="1E8449"/>
                <w:sz w:val="18"/>
                <w:szCs w:val="18"/>
              </w:rPr>
              <w:t xml:space="preserve">1.000</w:t>
            </w:r>
          </w:p>
        </w:tc>
        <w:tc>
          <w:tcPr>
            <w:tcW w:type="dxa" w:w="2000"/>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0.850</w:t>
            </w:r>
          </w:p>
        </w:tc>
        <w:tc>
          <w:tcPr>
            <w:tcW w:type="dxa" w:w="2000"/>
            <w:shd w:fill="F2F2F2" w:val="clear"/>
            <w:tcMar>
              <w:top w:type="dxa" w:w="80"/>
              <w:left w:type="dxa" w:w="120"/>
              <w:bottom w:type="dxa" w:w="80"/>
              <w:right w:type="dxa" w:w="120"/>
            </w:tcMar>
            <w:vAlign w:val="center"/>
          </w:tcPr>
          <w:p>
            <w:pPr>
              <w:jc w:val="center"/>
            </w:pPr>
            <w:r>
              <w:rPr>
                <w:b/>
                <w:bCs/>
                <w:color w:val="C0392B"/>
                <w:sz w:val="18"/>
                <w:szCs w:val="18"/>
              </w:rPr>
              <w:t xml:space="preserve">Pipeline A</w:t>
            </w:r>
          </w:p>
        </w:tc>
      </w:tr>
      <w:tr>
        <w:tc>
          <w:tcPr>
            <w:tcW w:type="dxa" w:w="3000"/>
            <w:shd w:fill="FFFFFF" w:val="clear"/>
            <w:tcMar>
              <w:top w:type="dxa" w:w="80"/>
              <w:left w:type="dxa" w:w="120"/>
              <w:bottom w:type="dxa" w:w="80"/>
              <w:right w:type="dxa" w:w="120"/>
            </w:tcMar>
            <w:vAlign w:val="center"/>
          </w:tcPr>
          <w:p>
            <w:pPr>
              <w:jc w:val="left"/>
            </w:pPr>
            <w:r>
              <w:rPr>
                <w:b/>
                <w:bCs/>
                <w:color w:val="000000"/>
                <w:sz w:val="18"/>
                <w:szCs w:val="18"/>
              </w:rPr>
              <w:t xml:space="preserve">Entity Recall (Context Entity Recall)</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0.746</w:t>
            </w:r>
          </w:p>
        </w:tc>
        <w:tc>
          <w:tcPr>
            <w:tcW w:type="dxa" w:w="2000"/>
            <w:shd w:fill="FFFFFF" w:val="clear"/>
            <w:tcMar>
              <w:top w:type="dxa" w:w="80"/>
              <w:left w:type="dxa" w:w="120"/>
              <w:bottom w:type="dxa" w:w="80"/>
              <w:right w:type="dxa" w:w="120"/>
            </w:tcMar>
            <w:vAlign w:val="center"/>
          </w:tcPr>
          <w:p>
            <w:pPr>
              <w:jc w:val="center"/>
            </w:pPr>
            <w:r>
              <w:rPr>
                <w:b/>
                <w:bCs/>
                <w:color w:val="1E8449"/>
                <w:sz w:val="18"/>
                <w:szCs w:val="18"/>
              </w:rPr>
              <w:t xml:space="preserve">0.960</w:t>
            </w:r>
          </w:p>
        </w:tc>
        <w:tc>
          <w:tcPr>
            <w:tcW w:type="dxa" w:w="2000"/>
            <w:shd w:fill="FFFFFF" w:val="clear"/>
            <w:tcMar>
              <w:top w:type="dxa" w:w="80"/>
              <w:left w:type="dxa" w:w="120"/>
              <w:bottom w:type="dxa" w:w="80"/>
              <w:right w:type="dxa" w:w="120"/>
            </w:tcMar>
            <w:vAlign w:val="center"/>
          </w:tcPr>
          <w:p>
            <w:pPr>
              <w:jc w:val="center"/>
            </w:pPr>
            <w:r>
              <w:rPr>
                <w:b/>
                <w:bCs/>
                <w:color w:val="1E8449"/>
                <w:sz w:val="18"/>
                <w:szCs w:val="18"/>
              </w:rPr>
              <w:t xml:space="preserve">Pipeline B</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B2A4A" w:val="clear"/>
            <w:tcMar>
              <w:top w:type="dxa" w:w="100"/>
              <w:left w:type="dxa" w:w="120"/>
              <w:bottom w:type="dxa" w:w="100"/>
              <w:right w:type="dxa" w:w="120"/>
            </w:tcMar>
            <w:vAlign w:val="center"/>
          </w:tcPr>
          <w:p>
            <w:pPr>
              <w:jc w:val="center"/>
            </w:pPr>
            <w:r>
              <w:rPr>
                <w:b/>
                <w:bCs/>
                <w:color w:val="FFFFFF"/>
                <w:sz w:val="18"/>
                <w:szCs w:val="18"/>
              </w:rPr>
              <w:t xml:space="preserve">Metric (pipeline-exclusive)</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Value</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Pipeline</w:t>
            </w:r>
          </w:p>
        </w:tc>
        <w:tc>
          <w:tcPr>
            <w:tcW w:type="dxa" w:w="2000"/>
            <w:shd w:fill="1B2A4A" w:val="clear"/>
            <w:tcMar>
              <w:top w:type="dxa" w:w="100"/>
              <w:left w:type="dxa" w:w="120"/>
              <w:bottom w:type="dxa" w:w="100"/>
              <w:right w:type="dxa" w:w="120"/>
            </w:tcMar>
            <w:vAlign w:val="center"/>
          </w:tcPr>
          <w:p>
            <w:pPr>
              <w:jc w:val="center"/>
            </w:pPr>
            <w:r>
              <w:rPr>
                <w:b/>
                <w:bCs/>
                <w:color w:val="FFFFFF"/>
                <w:sz w:val="18"/>
                <w:szCs w:val="18"/>
              </w:rPr>
              <w:t xml:space="preserve">Note</w:t>
            </w:r>
          </w:p>
        </w:tc>
      </w:tr>
      <w:tr>
        <w:tc>
          <w:tcPr>
            <w:tcW w:type="dxa" w:w="3000"/>
            <w:shd w:fill="FFFFFF" w:val="clear"/>
            <w:tcMar>
              <w:top w:type="dxa" w:w="80"/>
              <w:left w:type="dxa" w:w="120"/>
              <w:bottom w:type="dxa" w:w="80"/>
              <w:right w:type="dxa" w:w="120"/>
            </w:tcMar>
            <w:vAlign w:val="center"/>
          </w:tcPr>
          <w:p>
            <w:pPr>
              <w:jc w:val="left"/>
            </w:pPr>
            <w:r>
              <w:rPr>
                <w:b/>
                <w:bCs/>
                <w:color w:val="000000"/>
                <w:sz w:val="18"/>
                <w:szCs w:val="18"/>
              </w:rPr>
              <w:t xml:space="preserve">Answer Correctness</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0.710</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A only</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Not computed for B</w:t>
            </w:r>
          </w:p>
        </w:tc>
      </w:tr>
      <w:tr>
        <w:tc>
          <w:tcPr>
            <w:tcW w:type="dxa" w:w="3000"/>
            <w:shd w:fill="F2F2F2" w:val="clear"/>
            <w:tcMar>
              <w:top w:type="dxa" w:w="80"/>
              <w:left w:type="dxa" w:w="120"/>
              <w:bottom w:type="dxa" w:w="80"/>
              <w:right w:type="dxa" w:w="120"/>
            </w:tcMar>
            <w:vAlign w:val="center"/>
          </w:tcPr>
          <w:p>
            <w:pPr>
              <w:jc w:val="left"/>
            </w:pPr>
            <w:r>
              <w:rPr>
                <w:b/>
                <w:bCs/>
                <w:color w:val="000000"/>
                <w:sz w:val="18"/>
                <w:szCs w:val="18"/>
              </w:rPr>
              <w:t xml:space="preserve">Noise Sensitivity (lower = better)</w:t>
            </w:r>
          </w:p>
        </w:tc>
        <w:tc>
          <w:tcPr>
            <w:tcW w:type="dxa" w:w="2000"/>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0.078</w:t>
            </w:r>
          </w:p>
        </w:tc>
        <w:tc>
          <w:tcPr>
            <w:tcW w:type="dxa" w:w="2000"/>
            <w:shd w:fill="F2F2F2" w:val="clear"/>
            <w:tcMar>
              <w:top w:type="dxa" w:w="80"/>
              <w:left w:type="dxa" w:w="120"/>
              <w:bottom w:type="dxa" w:w="80"/>
              <w:right w:type="dxa" w:w="120"/>
            </w:tcMar>
            <w:vAlign w:val="center"/>
          </w:tcPr>
          <w:p>
            <w:pPr>
              <w:jc w:val="center"/>
            </w:pPr>
            <w:r>
              <w:rPr>
                <w:b w:val="false"/>
                <w:bCs w:val="false"/>
                <w:color w:val="000000"/>
                <w:sz w:val="18"/>
                <w:szCs w:val="18"/>
              </w:rPr>
              <w:t xml:space="preserve">B only</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18"/>
                <w:szCs w:val="18"/>
              </w:rPr>
              <w:t xml:space="preserve">Not computed for A</w:t>
            </w:r>
          </w:p>
        </w:tc>
      </w:tr>
    </w:tbl>
    <w:p>
      <w:pPr>
        <w:pStyle w:val="Heading1"/>
        <w:pBdr>
          <w:bottom w:val="single" w:color="0E7C7B" w:sz="8" w:space="4"/>
        </w:pBdr>
        <w:spacing w:after="200" w:before="400"/>
      </w:pPr>
      <w:r>
        <w:rPr>
          <w:b/>
          <w:bCs/>
          <w:color w:val="1B2A4A"/>
        </w:rPr>
        <w:t xml:space="preserve">5. Why Pipeline B (Hybrid + Reranker) Wins</w:t>
      </w:r>
    </w:p>
    <w:p>
      <w:pPr>
        <w:pStyle w:val="ListParagraph"/>
        <w:numPr>
          <w:ilvl w:val="0"/>
          <w:numId w:val="1"/>
        </w:numPr>
        <w:spacing w:after="100"/>
      </w:pPr>
      <w:r>
        <w:rPr>
          <w:b w:val="false"/>
          <w:bCs w:val="false"/>
          <w:color w:val="222222"/>
          <w:sz w:val="22"/>
          <w:szCs w:val="22"/>
        </w:rPr>
        <w:t xml:space="preserve">Hybrid retrieval closes the lexical gap: BM25 catches exact-match product terms ("Inbox", "Automations", "Channel Tabs") that dense-only embeddings can under-weight, especially with a small bge-small model. RRF fusion combines this with semantic matches, giving the generator cleaner, more on-topic evidence.</w:t>
      </w:r>
    </w:p>
    <w:p>
      <w:pPr>
        <w:pStyle w:val="ListParagraph"/>
        <w:numPr>
          <w:ilvl w:val="0"/>
          <w:numId w:val="1"/>
        </w:numPr>
        <w:spacing w:after="100"/>
      </w:pPr>
      <w:r>
        <w:rPr>
          <w:b w:val="false"/>
          <w:bCs w:val="false"/>
          <w:color w:val="222222"/>
          <w:sz w:val="22"/>
          <w:szCs w:val="22"/>
        </w:rPr>
        <w:t xml:space="preserve">Cross-encoder reranking (bge-reranker-base) re-scores the fused candidate list against the actual query, pushing the truly relevant chunks to the top-6 and discarding superficially-similar-but-off-topic ones — this is the single biggest lever behind Pipeline B's Faithfulness jump (0.688 → 0.894).</w:t>
      </w:r>
    </w:p>
    <w:p>
      <w:pPr>
        <w:pStyle w:val="ListParagraph"/>
        <w:numPr>
          <w:ilvl w:val="0"/>
          <w:numId w:val="1"/>
        </w:numPr>
        <w:spacing w:after="100"/>
      </w:pPr>
      <w:r>
        <w:rPr>
          <w:b w:val="false"/>
          <w:bCs w:val="false"/>
          <w:color w:val="222222"/>
          <w:sz w:val="22"/>
          <w:szCs w:val="22"/>
        </w:rPr>
        <w:t xml:space="preserve">Smaller, tighter chunks (400/50 vs 800/150) reduce the amount of unrelated text bundled into each retrieved chunk, so the LLM sees less "noise" per chunk and is less likely to blend in unsupported details — directly improving Faithfulness and Answer Relevancy.</w:t>
      </w:r>
    </w:p>
    <w:p>
      <w:pPr>
        <w:pStyle w:val="ListParagraph"/>
        <w:numPr>
          <w:ilvl w:val="0"/>
          <w:numId w:val="1"/>
        </w:numPr>
        <w:spacing w:after="100"/>
      </w:pPr>
      <w:r>
        <w:rPr>
          <w:b w:val="false"/>
          <w:bCs w:val="false"/>
          <w:color w:val="222222"/>
          <w:sz w:val="22"/>
          <w:szCs w:val="22"/>
        </w:rPr>
        <w:t xml:space="preserve">A larger embedding model (bge-base vs bge-small) produces more discriminative dense vectors, improving the semantic half of the hybrid retrieval before fusion/reranking even happens.</w:t>
      </w:r>
    </w:p>
    <w:p>
      <w:pPr>
        <w:pStyle w:val="ListParagraph"/>
        <w:numPr>
          <w:ilvl w:val="0"/>
          <w:numId w:val="1"/>
        </w:numPr>
        <w:spacing w:after="100"/>
      </w:pPr>
      <w:r>
        <w:rPr>
          <w:b w:val="false"/>
          <w:bCs w:val="false"/>
          <w:color w:val="222222"/>
          <w:sz w:val="22"/>
          <w:szCs w:val="22"/>
        </w:rPr>
        <w:t xml:space="preserve">Answer Relevancy for Pipeline B (0.920) is far more consistent question-to-question (0.80–1.00 range) than Pipeline A (0.66–0.74), indicating the hybrid+rerank pipeline degrades more gracefully on harder, multi-entity questions like Q4 ("social media channels") and Q5 ("multi-platform conversations").</w:t>
      </w:r>
    </w:p>
    <w:p>
      <w:pPr>
        <w:pStyle w:val="Heading1"/>
        <w:pBdr>
          <w:bottom w:val="single" w:color="0E7C7B" w:sz="8" w:space="4"/>
        </w:pBdr>
        <w:spacing w:after="200" w:before="400"/>
      </w:pPr>
      <w:r>
        <w:rPr>
          <w:b/>
          <w:bCs/>
          <w:color w:val="1B2A4A"/>
        </w:rPr>
        <w:t xml:space="preserve">6. Where Pipeline A (Simple Semantic) Wins — and Why</w:t>
      </w:r>
    </w:p>
    <w:p>
      <w:pPr>
        <w:pStyle w:val="ListParagraph"/>
        <w:numPr>
          <w:ilvl w:val="0"/>
          <w:numId w:val="1"/>
        </w:numPr>
        <w:spacing w:after="100"/>
      </w:pPr>
      <w:r>
        <w:rPr>
          <w:b w:val="false"/>
          <w:bCs w:val="false"/>
          <w:color w:val="222222"/>
          <w:sz w:val="22"/>
          <w:szCs w:val="22"/>
        </w:rPr>
        <w:t xml:space="preserve">Context Precision (0.982) is near-perfect: with topk=8 and 800-token chunks, Pipeline A pulls in large, broad chunks that are very likely to contain at least some relevant sentence, inflating precision even when a chunk is only partially on-topic.</w:t>
      </w:r>
    </w:p>
    <w:p>
      <w:pPr>
        <w:pStyle w:val="ListParagraph"/>
        <w:numPr>
          <w:ilvl w:val="0"/>
          <w:numId w:val="1"/>
        </w:numPr>
        <w:spacing w:after="100"/>
      </w:pPr>
      <w:r>
        <w:rPr>
          <w:b w:val="false"/>
          <w:bCs w:val="false"/>
          <w:color w:val="222222"/>
          <w:sz w:val="22"/>
          <w:szCs w:val="22"/>
        </w:rPr>
        <w:t xml:space="preserve">Context Recall (1.000) is perfect across all five questions, versus Pipeline B's 0.850. The larger chunk size and higher retrieval count (topk=8 vs final top-6) mean Pipeline A is less likely to fully miss a required fact — this shows up clearly on Q4, where Pipeline B's Context Recall drops to 0.50 (it appears to have under-retrieved the Facebook-channel mention).</w:t>
      </w:r>
    </w:p>
    <w:p>
      <w:pPr>
        <w:pStyle w:val="ListParagraph"/>
        <w:numPr>
          <w:ilvl w:val="0"/>
          <w:numId w:val="1"/>
        </w:numPr>
        <w:spacing w:after="100"/>
      </w:pPr>
      <w:r>
        <w:rPr>
          <w:b w:val="false"/>
          <w:bCs w:val="false"/>
          <w:color w:val="222222"/>
          <w:sz w:val="22"/>
          <w:szCs w:val="22"/>
        </w:rPr>
        <w:t xml:space="preserve">This is a classic precision/recall vs. faithfulness trade-off: casting a wider net (bigger chunks, more chunks, no reranker) maximizes the odds that the answer's needed facts are somewhere in context, but it also hands the LLM more irrelevant material to reconcile — which is exactly where Pipeline A's Faithfulness collapses (0.50 on Q1, 0.60 on Q3).</w:t>
      </w:r>
    </w:p>
    <w:p>
      <w:pPr>
        <w:pStyle w:val="ListParagraph"/>
        <w:numPr>
          <w:ilvl w:val="0"/>
          <w:numId w:val="1"/>
        </w:numPr>
        <w:spacing w:after="100"/>
      </w:pPr>
      <w:r>
        <w:rPr>
          <w:b w:val="false"/>
          <w:bCs w:val="false"/>
          <w:color w:val="222222"/>
          <w:sz w:val="22"/>
          <w:szCs w:val="22"/>
        </w:rPr>
        <w:t xml:space="preserve">Pipeline A is simpler and cheaper to run (no reranker pass, no BM25 index to maintain), which may be a reasonable trade-off for low-stakes or exploratory use cases where retrieval coverage matters more than answer faithfulness.</w:t>
      </w:r>
    </w:p>
    <w:p>
      <w:pPr>
        <w:pStyle w:val="Heading1"/>
        <w:pBdr>
          <w:bottom w:val="single" w:color="0E7C7B" w:sz="8" w:space="4"/>
        </w:pBdr>
        <w:spacing w:after="200" w:before="400"/>
      </w:pPr>
      <w:r>
        <w:rPr>
          <w:b/>
          <w:bCs/>
          <w:color w:val="1B2A4A"/>
        </w:rPr>
        <w:t xml:space="preserve">7. Root-Cause Summary</w:t>
      </w:r>
    </w:p>
    <w:p>
      <w:pPr>
        <w:spacing w:after="160"/>
      </w:pPr>
      <w:r>
        <w:rPr>
          <w:b w:val="false"/>
          <w:bCs w:val="false"/>
          <w:i w:val="false"/>
          <w:iCs w:val="false"/>
          <w:color w:val="222222"/>
          <w:sz w:val="22"/>
          <w:szCs w:val="22"/>
        </w:rPr>
        <w:t xml:space="preserve">The dominant failure mode in Pipeline A is generation-side hallucination enabled by noisy retrieval, not missing information. Its retrieval metrics (Precision, Recall) are excellent, but its generation metrics (Faithfulness, Answer Relevancy, Answer Correctness) are mediocre-to-poor — most visibly on Q1 (Faithfulness 0.50) and Q3 (Faithfulness 0.60). This is a strong signal that 800-token chunks at topk=8, with no reranking, are feeding the LLM more context than it can faithfully ground its answer in.</w:t>
      </w:r>
    </w:p>
    <w:p>
      <w:pPr>
        <w:spacing w:after="160"/>
      </w:pPr>
      <w:r>
        <w:rPr>
          <w:b w:val="false"/>
          <w:bCs w:val="false"/>
          <w:i w:val="false"/>
          <w:iCs w:val="false"/>
          <w:color w:val="222222"/>
          <w:sz w:val="22"/>
          <w:szCs w:val="22"/>
        </w:rPr>
        <w:t xml:space="preserve">The dominant, and much smaller, failure mode in Pipeline B is occasional under-recall on the reranked top-6, most visibly on Q4 (Context Recall 0.50, Context Precision 0.67), where the Facebook channel appears to have been retrieved but ranked/weighted inconsistently. This is a tunable retrieval-depth issue (e.g., raising FINAL_TOP_N from 6 to 8–10) rather than a structural weakness in the architecture.</w:t>
      </w:r>
    </w:p>
    <w:p>
      <w:pPr>
        <w:pStyle w:val="Heading1"/>
        <w:pBdr>
          <w:bottom w:val="single" w:color="0E7C7B" w:sz="8" w:space="4"/>
        </w:pBdr>
        <w:spacing w:after="200" w:before="400"/>
      </w:pPr>
      <w:r>
        <w:rPr>
          <w:b/>
          <w:bCs/>
          <w:color w:val="1B2A4A"/>
        </w:rPr>
        <w:t xml:space="preserve">8. Recommendation</w:t>
      </w:r>
    </w:p>
    <w:p>
      <w:pPr>
        <w:spacing w:after="160"/>
      </w:pPr>
      <w:r>
        <w:rPr>
          <w:b w:val="false"/>
          <w:bCs w:val="false"/>
          <w:i w:val="false"/>
          <w:iCs w:val="false"/>
          <w:color w:val="222222"/>
          <w:sz w:val="22"/>
          <w:szCs w:val="22"/>
        </w:rPr>
        <w:t xml:space="preserve">Adopt Pipeline B (Hybrid BM25 + Dense retrieval, RRF fusion, bge-reranker-base, bge-base-en-v1.5, 400/50 chunking) as the production RAG configuration for WeNext documentation Q&amp;A, with one tuning follow-up:</w:t>
      </w:r>
    </w:p>
    <w:p>
      <w:pPr>
        <w:pStyle w:val="ListParagraph"/>
        <w:numPr>
          <w:ilvl w:val="0"/>
          <w:numId w:val="1"/>
        </w:numPr>
        <w:spacing w:after="100"/>
      </w:pPr>
      <w:r>
        <w:rPr>
          <w:b/>
          <w:bCs/>
          <w:color w:val="222222"/>
          <w:sz w:val="22"/>
          <w:szCs w:val="22"/>
        </w:rPr>
        <w:t xml:space="preserve">Increase FINAL_TOP_N from 6 to 8 (or DENSE_TOP_K/BM25_TOP_K from 20 to 25) to recover the Context Recall lost on multi-entity questions like Q4, while keeping the reranker and hybrid fusion that are driving the Faithfulness and Answer Relevancy gains.</w:t>
      </w:r>
    </w:p>
    <w:p>
      <w:pPr>
        <w:pStyle w:val="ListParagraph"/>
        <w:numPr>
          <w:ilvl w:val="0"/>
          <w:numId w:val="1"/>
        </w:numPr>
        <w:spacing w:after="100"/>
      </w:pPr>
      <w:r>
        <w:rPr>
          <w:b w:val="false"/>
          <w:bCs w:val="false"/>
          <w:color w:val="222222"/>
          <w:sz w:val="22"/>
          <w:szCs w:val="22"/>
        </w:rPr>
        <w:t xml:space="preserve">Re-run RAGAS on both pipelines with an identical, unified metric set (including Answer Correctness and Noise Sensitivity for both) to make future comparisons fully apples-to-apples.</w:t>
      </w:r>
    </w:p>
    <w:p>
      <w:pPr>
        <w:pStyle w:val="ListParagraph"/>
        <w:numPr>
          <w:ilvl w:val="0"/>
          <w:numId w:val="1"/>
        </w:numPr>
        <w:spacing w:after="100"/>
      </w:pPr>
      <w:r>
        <w:rPr>
          <w:b w:val="false"/>
          <w:bCs w:val="false"/>
          <w:color w:val="222222"/>
          <w:sz w:val="22"/>
          <w:szCs w:val="22"/>
        </w:rPr>
        <w:t xml:space="preserve">Keep Pipeline A's larger topk as a fallback/ensemble signal only if a future "low-confidence" routing layer is built — its high recall could act as a safety net when Pipeline B's reranker returns low-confidence scores.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2026-08-06T09:26:19.507Z</dcterms:created>
  <dcterms:modified xsi:type="dcterms:W3CDTF">2026-08-06T09:26:19.507Z</dcterms:modified>
</cp:coreProperties>
</file>

<file path=docProps/custom.xml><?xml version="1.0" encoding="utf-8"?>
<Properties xmlns="http://schemas.openxmlformats.org/officeDocument/2006/custom-properties" xmlns:vt="http://schemas.openxmlformats.org/officeDocument/2006/docPropsVTypes"/>
</file>