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1F686" w14:textId="126224F1" w:rsidR="00B67A66" w:rsidRDefault="00B67A66" w:rsidP="005F4F5B">
      <w:pPr>
        <w:spacing w:after="0" w:line="240" w:lineRule="auto"/>
        <w:rPr>
          <w:rFonts w:ascii="Arial" w:hAnsi="Arial" w:cs="Arial"/>
          <w:b/>
          <w:bCs/>
          <w:sz w:val="24"/>
          <w:szCs w:val="24"/>
        </w:rPr>
      </w:pPr>
      <w:r w:rsidRPr="005F4F5B">
        <w:rPr>
          <w:rFonts w:ascii="Arial" w:hAnsi="Arial" w:cs="Arial"/>
          <w:b/>
          <w:bCs/>
          <w:sz w:val="24"/>
          <w:szCs w:val="24"/>
        </w:rPr>
        <w:t>Wandering Wings: Exploring the Migration Routes and Habitat Selection of Eastern Population Sandhill Cranes</w:t>
      </w:r>
    </w:p>
    <w:p w14:paraId="126D9B87" w14:textId="77777777" w:rsidR="005F4F5B" w:rsidRPr="005F4F5B" w:rsidRDefault="005F4F5B" w:rsidP="005F4F5B">
      <w:pPr>
        <w:spacing w:after="0" w:line="240" w:lineRule="auto"/>
        <w:rPr>
          <w:rFonts w:ascii="Arial" w:hAnsi="Arial" w:cs="Arial"/>
          <w:sz w:val="24"/>
          <w:szCs w:val="24"/>
        </w:rPr>
      </w:pPr>
    </w:p>
    <w:p w14:paraId="711D51AD" w14:textId="0F27DB48" w:rsidR="005F4F5B" w:rsidRPr="005F4F5B" w:rsidRDefault="005F4F5B" w:rsidP="005F4F5B">
      <w:pPr>
        <w:spacing w:after="0" w:line="240" w:lineRule="auto"/>
        <w:rPr>
          <w:rFonts w:ascii="Arial" w:hAnsi="Arial" w:cs="Arial"/>
          <w:sz w:val="24"/>
          <w:szCs w:val="24"/>
        </w:rPr>
      </w:pPr>
      <w:r w:rsidRPr="005F4F5B">
        <w:rPr>
          <w:rFonts w:ascii="Arial" w:hAnsi="Arial" w:cs="Arial"/>
          <w:sz w:val="24"/>
          <w:szCs w:val="24"/>
        </w:rPr>
        <w:t>Kelly E. McLean</w:t>
      </w:r>
      <w:r w:rsidRPr="005F4F5B">
        <w:rPr>
          <w:rFonts w:ascii="Arial" w:hAnsi="Arial" w:cs="Arial"/>
          <w:sz w:val="24"/>
          <w:szCs w:val="24"/>
          <w:vertAlign w:val="superscript"/>
        </w:rPr>
        <w:t>1</w:t>
      </w:r>
      <w:r w:rsidRPr="005F4F5B">
        <w:rPr>
          <w:rFonts w:ascii="Arial" w:hAnsi="Arial" w:cs="Arial"/>
          <w:sz w:val="24"/>
          <w:szCs w:val="24"/>
        </w:rPr>
        <w:t>, Christopher M. Sharp</w:t>
      </w:r>
      <w:r w:rsidRPr="005F4F5B">
        <w:rPr>
          <w:rFonts w:ascii="Arial" w:hAnsi="Arial" w:cs="Arial"/>
          <w:sz w:val="24"/>
          <w:szCs w:val="24"/>
          <w:vertAlign w:val="superscript"/>
        </w:rPr>
        <w:t>2</w:t>
      </w:r>
      <w:r w:rsidRPr="005F4F5B">
        <w:rPr>
          <w:rFonts w:ascii="Arial" w:hAnsi="Arial" w:cs="Arial"/>
          <w:sz w:val="24"/>
          <w:szCs w:val="24"/>
        </w:rPr>
        <w:t>, Christine Lepage</w:t>
      </w:r>
      <w:r w:rsidRPr="005F4F5B">
        <w:rPr>
          <w:rFonts w:ascii="Arial" w:hAnsi="Arial" w:cs="Arial"/>
          <w:sz w:val="24"/>
          <w:szCs w:val="24"/>
          <w:vertAlign w:val="superscript"/>
        </w:rPr>
        <w:t>3</w:t>
      </w:r>
      <w:r w:rsidRPr="005F4F5B">
        <w:rPr>
          <w:rFonts w:ascii="Arial" w:hAnsi="Arial" w:cs="Arial"/>
          <w:sz w:val="24"/>
          <w:szCs w:val="24"/>
        </w:rPr>
        <w:t>, Bradley C. Fedy</w:t>
      </w:r>
      <w:r w:rsidRPr="005F4F5B">
        <w:rPr>
          <w:rFonts w:ascii="Arial" w:hAnsi="Arial" w:cs="Arial"/>
          <w:sz w:val="24"/>
          <w:szCs w:val="24"/>
          <w:vertAlign w:val="superscript"/>
        </w:rPr>
        <w:t>1</w:t>
      </w:r>
      <w:r w:rsidRPr="005F4F5B">
        <w:rPr>
          <w:rFonts w:ascii="Arial" w:hAnsi="Arial" w:cs="Arial"/>
          <w:sz w:val="24"/>
          <w:szCs w:val="24"/>
        </w:rPr>
        <w:t xml:space="preserve"> </w:t>
      </w:r>
    </w:p>
    <w:p w14:paraId="23F5EDAD" w14:textId="1E1D13B1" w:rsidR="005F4F5B" w:rsidRPr="005F4F5B" w:rsidRDefault="005F4F5B" w:rsidP="005F4F5B">
      <w:pPr>
        <w:spacing w:after="0" w:line="240" w:lineRule="auto"/>
        <w:rPr>
          <w:rFonts w:ascii="Arial" w:hAnsi="Arial" w:cs="Arial"/>
          <w:i/>
          <w:iCs/>
          <w:sz w:val="24"/>
          <w:szCs w:val="24"/>
        </w:rPr>
      </w:pPr>
      <w:r w:rsidRPr="005F4F5B">
        <w:rPr>
          <w:rFonts w:ascii="Arial" w:hAnsi="Arial" w:cs="Arial"/>
          <w:i/>
          <w:iCs/>
          <w:sz w:val="24"/>
          <w:szCs w:val="24"/>
          <w:vertAlign w:val="superscript"/>
        </w:rPr>
        <w:t>1</w:t>
      </w:r>
      <w:r w:rsidRPr="005F4F5B">
        <w:rPr>
          <w:rFonts w:ascii="Arial" w:hAnsi="Arial" w:cs="Arial"/>
          <w:i/>
          <w:iCs/>
          <w:sz w:val="24"/>
          <w:szCs w:val="24"/>
        </w:rPr>
        <w:t xml:space="preserve"> School of Environment, Resources, and Sustainability, University of Waterloo, Waterloo </w:t>
      </w:r>
    </w:p>
    <w:p w14:paraId="17A956B4" w14:textId="62B8EDC2" w:rsidR="005F4F5B" w:rsidRPr="005F4F5B" w:rsidRDefault="005F4F5B" w:rsidP="005F4F5B">
      <w:pPr>
        <w:spacing w:after="0" w:line="240" w:lineRule="auto"/>
        <w:rPr>
          <w:rFonts w:ascii="Arial" w:hAnsi="Arial" w:cs="Arial"/>
          <w:i/>
          <w:iCs/>
          <w:sz w:val="24"/>
          <w:szCs w:val="24"/>
        </w:rPr>
      </w:pPr>
      <w:r w:rsidRPr="005F4F5B">
        <w:rPr>
          <w:rFonts w:ascii="Arial" w:hAnsi="Arial" w:cs="Arial"/>
          <w:i/>
          <w:iCs/>
          <w:sz w:val="24"/>
          <w:szCs w:val="24"/>
          <w:vertAlign w:val="superscript"/>
        </w:rPr>
        <w:t>2</w:t>
      </w:r>
      <w:r w:rsidRPr="005F4F5B">
        <w:rPr>
          <w:rFonts w:ascii="Arial" w:hAnsi="Arial" w:cs="Arial"/>
          <w:i/>
          <w:iCs/>
          <w:sz w:val="24"/>
          <w:szCs w:val="24"/>
        </w:rPr>
        <w:t xml:space="preserve"> Canadian Wildlife Service Ontario Region, Environment and Climate Change Canada, Ottawa</w:t>
      </w:r>
    </w:p>
    <w:p w14:paraId="13B415FE" w14:textId="5F95BC62" w:rsidR="005F4F5B" w:rsidRPr="005F4F5B" w:rsidRDefault="005F4F5B" w:rsidP="005F4F5B">
      <w:pPr>
        <w:spacing w:after="0" w:line="240" w:lineRule="auto"/>
        <w:rPr>
          <w:rFonts w:ascii="Arial" w:hAnsi="Arial" w:cs="Arial"/>
          <w:b/>
          <w:bCs/>
          <w:i/>
          <w:iCs/>
          <w:sz w:val="24"/>
          <w:szCs w:val="24"/>
        </w:rPr>
      </w:pPr>
      <w:r w:rsidRPr="005F4F5B">
        <w:rPr>
          <w:rFonts w:ascii="Arial" w:hAnsi="Arial" w:cs="Arial"/>
          <w:i/>
          <w:iCs/>
          <w:sz w:val="24"/>
          <w:szCs w:val="24"/>
          <w:vertAlign w:val="superscript"/>
        </w:rPr>
        <w:t>3</w:t>
      </w:r>
      <w:r w:rsidRPr="005F4F5B">
        <w:rPr>
          <w:rFonts w:ascii="Arial" w:hAnsi="Arial" w:cs="Arial"/>
          <w:i/>
          <w:iCs/>
          <w:sz w:val="24"/>
          <w:szCs w:val="24"/>
        </w:rPr>
        <w:t xml:space="preserve"> Canadian Wildlife Service Quebec Region, Environment and Climate Change Canada, Quebec</w:t>
      </w:r>
      <w:r w:rsidRPr="005F4F5B">
        <w:rPr>
          <w:rFonts w:ascii="Arial" w:hAnsi="Arial" w:cs="Arial"/>
          <w:b/>
          <w:bCs/>
          <w:i/>
          <w:iCs/>
          <w:sz w:val="24"/>
          <w:szCs w:val="24"/>
        </w:rPr>
        <w:t xml:space="preserve"> </w:t>
      </w:r>
    </w:p>
    <w:p w14:paraId="68245276" w14:textId="77777777" w:rsidR="005F4F5B" w:rsidRPr="005F4F5B" w:rsidRDefault="005F4F5B" w:rsidP="005F4F5B">
      <w:pPr>
        <w:spacing w:after="0" w:line="240" w:lineRule="auto"/>
        <w:rPr>
          <w:rFonts w:ascii="Arial" w:hAnsi="Arial" w:cs="Arial"/>
          <w:b/>
          <w:bCs/>
          <w:sz w:val="24"/>
          <w:szCs w:val="24"/>
        </w:rPr>
      </w:pPr>
    </w:p>
    <w:p w14:paraId="2F70901C" w14:textId="42F0C27C" w:rsidR="000327C9" w:rsidRPr="005F4F5B" w:rsidRDefault="00B67A66" w:rsidP="005F4F5B">
      <w:pPr>
        <w:spacing w:after="0" w:line="240" w:lineRule="auto"/>
        <w:rPr>
          <w:rFonts w:ascii="Arial" w:hAnsi="Arial" w:cs="Arial"/>
          <w:sz w:val="24"/>
          <w:szCs w:val="24"/>
        </w:rPr>
      </w:pPr>
      <w:r w:rsidRPr="005F4F5B">
        <w:rPr>
          <w:rFonts w:ascii="Arial" w:hAnsi="Arial" w:cs="Arial"/>
          <w:sz w:val="24"/>
          <w:szCs w:val="24"/>
        </w:rPr>
        <w:t xml:space="preserve">Stopover areas are crucial for migrating waterbirds to rest and refuel, yet quantitative descriptions are often lacking, hindering conservation efforts. Recent telemetry advancements that record frequent locations for long timespans allow for detailed stopover delineation and species management. Little is known about stopover distribution, chronology, and habitat selection of the Eastern Population of Sandhill cranes, despite their recovery from near extirpation. To address this information gap, we deployed GPS-GSM transmitters on 84 adult Eastern Population cranes in Ontario and Quebec from 2019-2022. Using kernel density estimates, we delineated spring and fall stopover locations. Fall stopovers averaged 895 ± 320 km2, with cranes spending 45 ± 13 days, while spring stopovers averaged 981 ± 317 km2, with 24 ± 8 days spent. Preliminary findings suggest cranes prefer stopover areas with higher proportions of agricultural and wetland habitat availability. Our study provides critical quantitative data on crane stopovers, offering insights into migration dynamics that can be used to provide insight into crane management.  </w:t>
      </w:r>
    </w:p>
    <w:sectPr w:rsidR="000327C9" w:rsidRPr="005F4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A66"/>
    <w:rsid w:val="000327C9"/>
    <w:rsid w:val="0016384D"/>
    <w:rsid w:val="004B6D11"/>
    <w:rsid w:val="005F4F5B"/>
    <w:rsid w:val="008962CB"/>
    <w:rsid w:val="00B67A66"/>
    <w:rsid w:val="00CF3152"/>
    <w:rsid w:val="00D94374"/>
    <w:rsid w:val="00E55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AA130"/>
  <w15:chartTrackingRefBased/>
  <w15:docId w15:val="{852410D5-CB05-41B2-AE3A-D44CB9722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D11"/>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238</Words>
  <Characters>1358</Characters>
  <Application>Microsoft Office Word</Application>
  <DocSecurity>0</DocSecurity>
  <Lines>11</Lines>
  <Paragraphs>3</Paragraphs>
  <ScaleCrop>false</ScaleCrop>
  <Company>University of Waterloo</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McLean</dc:creator>
  <cp:keywords/>
  <dc:description/>
  <cp:lastModifiedBy>Kelly McLean</cp:lastModifiedBy>
  <cp:revision>3</cp:revision>
  <dcterms:created xsi:type="dcterms:W3CDTF">2024-03-28T16:11:00Z</dcterms:created>
  <dcterms:modified xsi:type="dcterms:W3CDTF">2024-03-28T16:19:00Z</dcterms:modified>
</cp:coreProperties>
</file>