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FC" w:rsidRPr="00E178EF" w:rsidRDefault="00237249" w:rsidP="001D06FC">
      <w:pPr>
        <w:pStyle w:val="AbstractTitle"/>
      </w:pPr>
      <w:r w:rsidRPr="00E178EF">
        <w:t>Annual Survivor</w:t>
      </w:r>
      <w:r w:rsidR="003D34B8">
        <w:t>ship Varies Between the Sexes, B</w:t>
      </w:r>
      <w:r w:rsidR="00E178EF">
        <w:t>ut</w:t>
      </w:r>
      <w:r w:rsidRPr="00E178EF">
        <w:t xml:space="preserve"> </w:t>
      </w:r>
      <w:r w:rsidR="00E178EF">
        <w:t>Not</w:t>
      </w:r>
      <w:r w:rsidRPr="00E178EF">
        <w:t xml:space="preserve"> </w:t>
      </w:r>
      <w:proofErr w:type="gramStart"/>
      <w:r w:rsidRPr="00E178EF">
        <w:t>With</w:t>
      </w:r>
      <w:proofErr w:type="gramEnd"/>
      <w:r w:rsidRPr="00E178EF">
        <w:t xml:space="preserve"> Overwinter Latitude, in song sparrows</w:t>
      </w:r>
    </w:p>
    <w:p w:rsidR="001D06FC" w:rsidRPr="00E178EF" w:rsidRDefault="001D06FC" w:rsidP="001D06FC">
      <w:pPr>
        <w:pStyle w:val="AbstractTitle"/>
        <w:rPr>
          <w:b w:val="0"/>
        </w:rPr>
      </w:pPr>
    </w:p>
    <w:p w:rsidR="001D06FC" w:rsidRPr="00E178EF" w:rsidRDefault="009F083C" w:rsidP="001D06FC">
      <w:pPr>
        <w:pStyle w:val="AbstractTitle"/>
        <w:rPr>
          <w:b w:val="0"/>
        </w:rPr>
      </w:pPr>
      <w:r w:rsidRPr="00E178EF">
        <w:rPr>
          <w:b w:val="0"/>
          <w:bCs/>
          <w:color w:val="000000"/>
          <w:bdr w:val="none" w:sz="0" w:space="0" w:color="auto" w:frame="1"/>
          <w:shd w:val="clear" w:color="auto" w:fill="FFFFFF"/>
        </w:rPr>
        <w:t>Ryan Spencer Conklin</w:t>
      </w:r>
      <w:r w:rsidRPr="00E178EF">
        <w:rPr>
          <w:b w:val="0"/>
          <w:bCs/>
          <w:color w:val="000000"/>
          <w:bdr w:val="none" w:sz="0" w:space="0" w:color="auto" w:frame="1"/>
          <w:shd w:val="clear" w:color="auto" w:fill="FFFFFF"/>
          <w:vertAlign w:val="superscript"/>
        </w:rPr>
        <w:t>1</w:t>
      </w:r>
      <w:r w:rsidRPr="00E178EF">
        <w:rPr>
          <w:b w:val="0"/>
          <w:bCs/>
          <w:color w:val="000000"/>
          <w:bdr w:val="none" w:sz="0" w:space="0" w:color="auto" w:frame="1"/>
          <w:shd w:val="clear" w:color="auto" w:fill="FFFFFF"/>
        </w:rPr>
        <w:t>, Victoria Marie Quance</w:t>
      </w:r>
      <w:r w:rsidRPr="00E178EF">
        <w:rPr>
          <w:b w:val="0"/>
          <w:bCs/>
          <w:color w:val="000000"/>
          <w:bdr w:val="none" w:sz="0" w:space="0" w:color="auto" w:frame="1"/>
          <w:shd w:val="clear" w:color="auto" w:fill="FFFFFF"/>
          <w:vertAlign w:val="superscript"/>
        </w:rPr>
        <w:t>2</w:t>
      </w:r>
      <w:r w:rsidRPr="00E178EF">
        <w:rPr>
          <w:b w:val="0"/>
          <w:bCs/>
          <w:color w:val="000000"/>
          <w:bdr w:val="none" w:sz="0" w:space="0" w:color="auto" w:frame="1"/>
          <w:shd w:val="clear" w:color="auto" w:fill="FFFFFF"/>
        </w:rPr>
        <w:t>, Simon Bonner</w:t>
      </w:r>
      <w:r w:rsidRPr="00E178EF">
        <w:rPr>
          <w:b w:val="0"/>
          <w:bCs/>
          <w:color w:val="000000"/>
          <w:bdr w:val="none" w:sz="0" w:space="0" w:color="auto" w:frame="1"/>
          <w:shd w:val="clear" w:color="auto" w:fill="FFFFFF"/>
          <w:vertAlign w:val="superscript"/>
        </w:rPr>
        <w:t>3</w:t>
      </w:r>
      <w:r w:rsidRPr="00E178EF">
        <w:rPr>
          <w:b w:val="0"/>
          <w:bCs/>
          <w:color w:val="000000"/>
          <w:bdr w:val="none" w:sz="0" w:space="0" w:color="auto" w:frame="1"/>
          <w:shd w:val="clear" w:color="auto" w:fill="FFFFFF"/>
        </w:rPr>
        <w:t>, Garth Casbourn</w:t>
      </w:r>
      <w:r w:rsidRPr="00E178EF">
        <w:rPr>
          <w:b w:val="0"/>
          <w:bCs/>
          <w:color w:val="000000"/>
          <w:bdr w:val="none" w:sz="0" w:space="0" w:color="auto" w:frame="1"/>
          <w:shd w:val="clear" w:color="auto" w:fill="FFFFFF"/>
          <w:vertAlign w:val="superscript"/>
        </w:rPr>
        <w:t>1</w:t>
      </w:r>
      <w:r w:rsidRPr="00E178EF">
        <w:rPr>
          <w:b w:val="0"/>
          <w:bCs/>
          <w:color w:val="000000"/>
          <w:bdr w:val="none" w:sz="0" w:space="0" w:color="auto" w:frame="1"/>
          <w:shd w:val="clear" w:color="auto" w:fill="FFFFFF"/>
        </w:rPr>
        <w:t>, Elizabeth MacDougall-Shackleton</w:t>
      </w:r>
      <w:r w:rsidRPr="00E178EF">
        <w:rPr>
          <w:b w:val="0"/>
          <w:bCs/>
          <w:color w:val="000000"/>
          <w:bdr w:val="none" w:sz="0" w:space="0" w:color="auto" w:frame="1"/>
          <w:shd w:val="clear" w:color="auto" w:fill="FFFFFF"/>
          <w:vertAlign w:val="superscript"/>
        </w:rPr>
        <w:t>1</w:t>
      </w:r>
    </w:p>
    <w:p w:rsidR="001D06FC" w:rsidRPr="00E178EF" w:rsidRDefault="000530B4" w:rsidP="001D06FC">
      <w:pPr>
        <w:pStyle w:val="AbstractTitle"/>
        <w:rPr>
          <w:b w:val="0"/>
          <w:bCs/>
          <w:i/>
          <w:color w:val="000000"/>
          <w:bdr w:val="none" w:sz="0" w:space="0" w:color="auto" w:frame="1"/>
          <w:shd w:val="clear" w:color="auto" w:fill="FFFFFF"/>
        </w:rPr>
      </w:pPr>
      <w:r w:rsidRPr="00E178EF">
        <w:rPr>
          <w:b w:val="0"/>
          <w:bCs/>
          <w:i/>
          <w:color w:val="000000"/>
          <w:bdr w:val="none" w:sz="0" w:space="0" w:color="auto" w:frame="1"/>
          <w:shd w:val="clear" w:color="auto" w:fill="FFFFFF"/>
          <w:vertAlign w:val="superscript"/>
        </w:rPr>
        <w:t>1</w:t>
      </w:r>
      <w:r w:rsidRPr="00E178EF">
        <w:rPr>
          <w:b w:val="0"/>
          <w:bCs/>
          <w:i/>
          <w:color w:val="000000"/>
          <w:bdr w:val="none" w:sz="0" w:space="0" w:color="auto" w:frame="1"/>
          <w:shd w:val="clear" w:color="auto" w:fill="FFFFFF"/>
        </w:rPr>
        <w:t xml:space="preserve">Biology, University of Western Ontario, London; </w:t>
      </w:r>
      <w:r w:rsidRPr="00E178EF">
        <w:rPr>
          <w:b w:val="0"/>
          <w:bCs/>
          <w:i/>
          <w:color w:val="000000"/>
          <w:bdr w:val="none" w:sz="0" w:space="0" w:color="auto" w:frame="1"/>
          <w:shd w:val="clear" w:color="auto" w:fill="FFFFFF"/>
          <w:vertAlign w:val="superscript"/>
        </w:rPr>
        <w:t>2</w:t>
      </w:r>
      <w:r w:rsidRPr="00E178EF">
        <w:rPr>
          <w:b w:val="0"/>
          <w:bCs/>
          <w:i/>
          <w:color w:val="000000"/>
          <w:bdr w:val="none" w:sz="0" w:space="0" w:color="auto" w:frame="1"/>
          <w:shd w:val="clear" w:color="auto" w:fill="FFFFFF"/>
        </w:rPr>
        <w:t xml:space="preserve">Applied Math, University of Western Ontario, London; </w:t>
      </w:r>
      <w:r w:rsidR="00CF0D84" w:rsidRPr="00E178EF">
        <w:rPr>
          <w:b w:val="0"/>
          <w:bCs/>
          <w:i/>
          <w:color w:val="000000"/>
          <w:bdr w:val="none" w:sz="0" w:space="0" w:color="auto" w:frame="1"/>
          <w:shd w:val="clear" w:color="auto" w:fill="FFFFFF"/>
          <w:vertAlign w:val="superscript"/>
        </w:rPr>
        <w:t>3</w:t>
      </w:r>
      <w:r w:rsidRPr="00E178EF">
        <w:rPr>
          <w:b w:val="0"/>
          <w:bCs/>
          <w:i/>
          <w:color w:val="000000"/>
          <w:bdr w:val="none" w:sz="0" w:space="0" w:color="auto" w:frame="1"/>
          <w:shd w:val="clear" w:color="auto" w:fill="FFFFFF"/>
        </w:rPr>
        <w:t>Statistics and Actuarial Science, University of Western Ontario, London</w:t>
      </w:r>
    </w:p>
    <w:p w:rsidR="001D06FC" w:rsidRPr="00E178EF" w:rsidRDefault="001D06FC" w:rsidP="001D06FC">
      <w:pPr>
        <w:pStyle w:val="AbstractTitle"/>
        <w:rPr>
          <w:b w:val="0"/>
          <w:bCs/>
          <w:i/>
          <w:color w:val="000000"/>
          <w:bdr w:val="none" w:sz="0" w:space="0" w:color="auto" w:frame="1"/>
          <w:shd w:val="clear" w:color="auto" w:fill="FFFFFF"/>
        </w:rPr>
      </w:pPr>
    </w:p>
    <w:p w:rsidR="00CF0D84" w:rsidRPr="00E178EF" w:rsidRDefault="001D06FC" w:rsidP="003D34B8">
      <w:pPr>
        <w:pStyle w:val="AbstractTitle"/>
        <w:rPr>
          <w:b w:val="0"/>
        </w:rPr>
      </w:pPr>
      <w:r w:rsidRPr="00E178EF">
        <w:rPr>
          <w:b w:val="0"/>
        </w:rPr>
        <w:t>Many animals display</w:t>
      </w:r>
      <w:r w:rsidR="00CF0D84" w:rsidRPr="00E178EF">
        <w:rPr>
          <w:b w:val="0"/>
        </w:rPr>
        <w:t xml:space="preserve"> differential migration, where members of a population breed at the same site but overwinter at different sites. Despite interest in how individual variation in migration affects fitness, the relationship between overwinter latitude and survival has been difficult to study because only surviving individuals that return to the breeding site can be sampled to assess winter latitude. We used stable isotope analysis of winter-grown claw tissue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as a proxy to examine the relationship between survival and overwinter latitude in differentially-migrating song sparrows (</w:t>
      </w:r>
      <w:proofErr w:type="spellStart"/>
      <w:r w:rsidR="00CF0D84" w:rsidRPr="00E178EF">
        <w:rPr>
          <w:b w:val="0"/>
          <w:i/>
          <w:iCs/>
        </w:rPr>
        <w:t>Melospiza</w:t>
      </w:r>
      <w:proofErr w:type="spellEnd"/>
      <w:r w:rsidR="00CF0D84" w:rsidRPr="00E178EF">
        <w:rPr>
          <w:b w:val="0"/>
          <w:i/>
          <w:iCs/>
        </w:rPr>
        <w:t xml:space="preserve"> </w:t>
      </w:r>
      <w:proofErr w:type="spellStart"/>
      <w:r w:rsidR="00CF0D84" w:rsidRPr="00E178EF">
        <w:rPr>
          <w:b w:val="0"/>
          <w:i/>
          <w:iCs/>
        </w:rPr>
        <w:t>melodia</w:t>
      </w:r>
      <w:proofErr w:type="spellEnd"/>
      <w:r w:rsidR="00CF0D84" w:rsidRPr="00E178EF">
        <w:rPr>
          <w:b w:val="0"/>
        </w:rPr>
        <w:t>). We constructed encounter histories for 173 individuals from ten years of breeding-site capture records and fit a modified Cormack-Jolly-</w:t>
      </w:r>
      <w:proofErr w:type="spellStart"/>
      <w:r w:rsidR="00CF0D84" w:rsidRPr="00E178EF">
        <w:rPr>
          <w:b w:val="0"/>
        </w:rPr>
        <w:t>Seber</w:t>
      </w:r>
      <w:proofErr w:type="spellEnd"/>
      <w:r w:rsidR="00CF0D84" w:rsidRPr="00E178EF">
        <w:rPr>
          <w:b w:val="0"/>
        </w:rPr>
        <w:t xml:space="preserve"> model incorporating a hierarchical model of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Analysis was conducted in the Bayesian framework via MCMC sampling, estimating distributions of missing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data based on the individual’s previous values, to assess how survival varies with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We found that both survival and capture probability varied by sex, but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xml:space="preserve"> did not differ by sex and δ</w:t>
      </w:r>
      <w:r w:rsidR="00CF0D84" w:rsidRPr="00E178EF">
        <w:rPr>
          <w:b w:val="0"/>
          <w:vertAlign w:val="superscript"/>
        </w:rPr>
        <w:t>2</w:t>
      </w:r>
      <w:r w:rsidR="00CF0D84" w:rsidRPr="00E178EF">
        <w:rPr>
          <w:b w:val="0"/>
        </w:rPr>
        <w:t>H</w:t>
      </w:r>
      <w:r w:rsidR="00CF0D84" w:rsidRPr="00E178EF">
        <w:rPr>
          <w:b w:val="0"/>
          <w:vertAlign w:val="subscript"/>
        </w:rPr>
        <w:t>c</w:t>
      </w:r>
      <w:r w:rsidR="00CF0D84" w:rsidRPr="00E178EF">
        <w:rPr>
          <w:b w:val="0"/>
        </w:rPr>
        <w:t xml:space="preserve"> was not linked to survival.</w:t>
      </w:r>
      <w:r w:rsidR="00475A1E" w:rsidRPr="00E178EF">
        <w:rPr>
          <w:b w:val="0"/>
        </w:rPr>
        <w:t xml:space="preserve"> </w:t>
      </w:r>
      <w:r w:rsidR="00871C47" w:rsidRPr="00E178EF">
        <w:rPr>
          <w:b w:val="0"/>
        </w:rPr>
        <w:t>This finding may help to explain the maintenance of differential migration in this population of song sparrows.</w:t>
      </w:r>
    </w:p>
    <w:p w:rsidR="009F083C" w:rsidRDefault="009F083C" w:rsidP="00237249">
      <w:pPr>
        <w:spacing w:line="240" w:lineRule="auto"/>
        <w:rPr>
          <w:rFonts w:ascii="Arial" w:hAnsi="Arial" w:cs="Arial"/>
          <w:b/>
          <w:sz w:val="24"/>
        </w:rPr>
      </w:pPr>
    </w:p>
    <w:p w:rsidR="00CF0D84" w:rsidRDefault="00CF0D84" w:rsidP="00237249">
      <w:pPr>
        <w:spacing w:line="240" w:lineRule="auto"/>
        <w:rPr>
          <w:rFonts w:ascii="Arial" w:hAnsi="Arial" w:cs="Arial"/>
          <w:b/>
          <w:sz w:val="24"/>
        </w:rPr>
      </w:pPr>
      <w:bookmarkStart w:id="0" w:name="_GoBack"/>
      <w:bookmarkEnd w:id="0"/>
    </w:p>
    <w:p w:rsidR="009F083C" w:rsidRDefault="009F083C" w:rsidP="00237249">
      <w:pPr>
        <w:spacing w:line="240" w:lineRule="auto"/>
        <w:rPr>
          <w:rFonts w:ascii="Arial" w:hAnsi="Arial" w:cs="Arial"/>
          <w:b/>
          <w:sz w:val="24"/>
        </w:rPr>
      </w:pPr>
    </w:p>
    <w:p w:rsidR="009F083C" w:rsidRPr="009F083C" w:rsidRDefault="009F083C" w:rsidP="009F083C">
      <w:pPr>
        <w:rPr>
          <w:rFonts w:ascii="Arial" w:eastAsia="Times New Roman" w:hAnsi="Arial" w:cs="Arial"/>
          <w:color w:val="202124"/>
          <w:sz w:val="21"/>
          <w:szCs w:val="21"/>
        </w:rPr>
      </w:pPr>
      <w:r w:rsidRPr="009F083C">
        <w:rPr>
          <w:rFonts w:ascii="Arial" w:hAnsi="Arial" w:cs="Arial"/>
          <w:b/>
          <w:sz w:val="24"/>
        </w:rPr>
        <w:tab/>
      </w:r>
      <w:r w:rsidRPr="009F083C">
        <w:rPr>
          <w:rFonts w:ascii="Arial" w:eastAsia="Times New Roman" w:hAnsi="Arial" w:cs="Arial"/>
          <w:b/>
          <w:bCs/>
          <w:color w:val="202124"/>
          <w:sz w:val="21"/>
          <w:szCs w:val="21"/>
        </w:rPr>
        <w:br/>
      </w:r>
    </w:p>
    <w:p w:rsidR="009F083C" w:rsidRPr="00237249" w:rsidRDefault="009F083C" w:rsidP="00237249">
      <w:pPr>
        <w:spacing w:line="240" w:lineRule="auto"/>
        <w:rPr>
          <w:rFonts w:ascii="Arial" w:hAnsi="Arial" w:cs="Arial"/>
          <w:b/>
          <w:sz w:val="24"/>
        </w:rPr>
      </w:pPr>
    </w:p>
    <w:sectPr w:rsidR="009F083C" w:rsidRPr="0023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49"/>
    <w:rsid w:val="000530B4"/>
    <w:rsid w:val="001D06FC"/>
    <w:rsid w:val="00237249"/>
    <w:rsid w:val="003A0CC3"/>
    <w:rsid w:val="003D34B8"/>
    <w:rsid w:val="00475A1E"/>
    <w:rsid w:val="005E0C05"/>
    <w:rsid w:val="00806CB1"/>
    <w:rsid w:val="00871C47"/>
    <w:rsid w:val="009F083C"/>
    <w:rsid w:val="00CF0D84"/>
    <w:rsid w:val="00E178EF"/>
    <w:rsid w:val="00E8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5C1C"/>
  <w15:chartTrackingRefBased/>
  <w15:docId w15:val="{74294A41-6536-402B-B580-A1CA920E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List">
    <w:name w:val="Author List"/>
    <w:next w:val="Afilliations"/>
    <w:qFormat/>
    <w:rsid w:val="00E85954"/>
    <w:pPr>
      <w:spacing w:after="0" w:line="240" w:lineRule="auto"/>
    </w:pPr>
    <w:rPr>
      <w:rFonts w:ascii="Arial" w:eastAsiaTheme="minorEastAsia" w:hAnsi="Arial" w:cs="Arial"/>
      <w:color w:val="000000" w:themeColor="text1"/>
      <w:kern w:val="2"/>
      <w:sz w:val="24"/>
      <w:szCs w:val="24"/>
      <w:lang w:val="en-CA"/>
      <w14:ligatures w14:val="standardContextual"/>
    </w:rPr>
  </w:style>
  <w:style w:type="paragraph" w:customStyle="1" w:styleId="AbstractTitle">
    <w:name w:val="Abstract Title"/>
    <w:next w:val="AuthorList"/>
    <w:qFormat/>
    <w:rsid w:val="00E85954"/>
    <w:pPr>
      <w:spacing w:after="0" w:line="240" w:lineRule="auto"/>
    </w:pPr>
    <w:rPr>
      <w:rFonts w:ascii="Arial" w:eastAsiaTheme="majorEastAsia" w:hAnsi="Arial" w:cs="Arial"/>
      <w:b/>
      <w:color w:val="000000" w:themeColor="text1"/>
      <w:kern w:val="2"/>
      <w:sz w:val="24"/>
      <w:szCs w:val="24"/>
      <w:lang w:val="en-CA"/>
      <w14:ligatures w14:val="standardContextual"/>
    </w:rPr>
  </w:style>
  <w:style w:type="paragraph" w:customStyle="1" w:styleId="Afilliations">
    <w:name w:val="Afilliations"/>
    <w:next w:val="Normal"/>
    <w:qFormat/>
    <w:rsid w:val="00E85954"/>
    <w:pPr>
      <w:spacing w:after="0" w:line="240" w:lineRule="auto"/>
    </w:pPr>
    <w:rPr>
      <w:rFonts w:ascii="Arial" w:eastAsiaTheme="minorEastAsia" w:hAnsi="Arial" w:cs="Arial"/>
      <w:i/>
      <w:color w:val="000000" w:themeColor="text1"/>
      <w:kern w:val="2"/>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612441">
      <w:bodyDiv w:val="1"/>
      <w:marLeft w:val="0"/>
      <w:marRight w:val="0"/>
      <w:marTop w:val="0"/>
      <w:marBottom w:val="0"/>
      <w:divBdr>
        <w:top w:val="none" w:sz="0" w:space="0" w:color="auto"/>
        <w:left w:val="none" w:sz="0" w:space="0" w:color="auto"/>
        <w:bottom w:val="none" w:sz="0" w:space="0" w:color="auto"/>
        <w:right w:val="none" w:sz="0" w:space="0" w:color="auto"/>
      </w:divBdr>
    </w:div>
    <w:div w:id="15266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SCA</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2024-03-09T01:09:00Z</dcterms:created>
  <dcterms:modified xsi:type="dcterms:W3CDTF">2024-03-09T01:09:00Z</dcterms:modified>
</cp:coreProperties>
</file>