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36"/>
          <w:szCs w:val="36"/>
        </w:rPr>
        <w:t xml:space="preserve">UCM B2B ANTIVIRUS GATEWAY</w:t>
      </w:r>
    </w:p>
    <w:p>
      <w:pPr>
        <w:spacing w:after="60" w:before="60"/>
        <w:jc w:val="center"/>
      </w:pPr>
      <w:r>
        <w:rPr>
          <w:rFonts w:ascii="Times New Roman" w:cs="Times New Roman" w:eastAsia="Times New Roman" w:hAnsi="Times New Roman"/>
          <w:b/>
          <w:bCs/>
          <w:sz w:val="28"/>
          <w:szCs w:val="28"/>
        </w:rPr>
        <w:t xml:space="preserve">A Structural Approach to Signatureless Web and File Protection</w:t>
      </w:r>
    </w:p>
    <w:p>
      <w:pPr>
        <w:spacing w:after="60" w:before="120"/>
      </w:pPr>
    </w:p>
    <w:p>
      <w:pPr>
        <w:spacing w:after="60" w:before="60"/>
        <w:jc w:val="center"/>
      </w:pPr>
      <w:r>
        <w:rPr>
          <w:rFonts w:ascii="Times New Roman" w:cs="Times New Roman" w:eastAsia="Times New Roman" w:hAnsi="Times New Roman"/>
          <w:b/>
          <w:bCs/>
          <w:sz w:val="24"/>
          <w:szCs w:val="24"/>
        </w:rPr>
        <w:t xml:space="preserve">Andrey Stanko</w:t>
      </w:r>
    </w:p>
    <w:p>
      <w:pPr>
        <w:spacing w:after="60" w:before="30"/>
        <w:jc w:val="center"/>
      </w:pPr>
      <w:r>
        <w:rPr>
          <w:rFonts w:ascii="Times New Roman" w:cs="Times New Roman" w:eastAsia="Times New Roman" w:hAnsi="Times New Roman"/>
          <w:sz w:val="24"/>
          <w:szCs w:val="24"/>
        </w:rPr>
        <w:t xml:space="preserve">ORCID: 0009-0002-8081-6917  ·  CC BY 4.0  ·  2026</w:t>
      </w:r>
    </w:p>
    <w:p>
      <w:pPr>
        <w:spacing w:after="240" w:before="30"/>
        <w:jc w:val="center"/>
      </w:pPr>
      <w:r>
        <w:rPr>
          <w:rFonts w:ascii="Times New Roman" w:cs="Times New Roman" w:eastAsia="Times New Roman" w:hAnsi="Times New Roman"/>
          <w:sz w:val="24"/>
          <w:szCs w:val="24"/>
        </w:rPr>
        <w:t xml:space="preserve">Corpus Root DOI: 10.5281/zenodo.19108892</w:t>
      </w:r>
    </w:p>
    <w:p>
      <w:pPr>
        <w:pBdr>
          <w:bottom w:val="single" w:color="000000" w:sz="6" w:space="1"/>
        </w:pBdr>
        <w:spacing w:after="120" w:before="120"/>
      </w:pPr>
    </w:p>
    <w:p>
      <w:pPr>
        <w:spacing w:after="180" w:before="360"/>
      </w:pPr>
      <w:r>
        <w:rPr>
          <w:rFonts w:ascii="Times New Roman" w:cs="Times New Roman" w:eastAsia="Times New Roman" w:hAnsi="Times New Roman"/>
          <w:b/>
          <w:bCs/>
          <w:sz w:val="36"/>
          <w:szCs w:val="36"/>
        </w:rPr>
        <w:t xml:space="preserve">Abstract</w:t>
      </w:r>
    </w:p>
    <w:p>
      <w:pPr>
        <w:spacing w:after="60" w:before="60"/>
        <w:jc w:val="both"/>
      </w:pPr>
      <w:r>
        <w:rPr>
          <w:rFonts w:ascii="Times New Roman" w:cs="Times New Roman" w:eastAsia="Times New Roman" w:hAnsi="Times New Roman"/>
          <w:b w:val="false"/>
          <w:bCs w:val="false"/>
          <w:i w:val="false"/>
          <w:iCs w:val="false"/>
          <w:sz w:val="24"/>
          <w:szCs w:val="24"/>
        </w:rPr>
        <w:t xml:space="preserve">This paper introduces UCM B2B Antivirus Gateway (UCM B2B), a lightweight, offline-capable security agent for Windows desktop environments. The system operates as a continuous web and file risk monitor without reliance on signature databases, cloud connectivity, or machine-learning inference engines. Protection is achieved through a four-stage structural pipeline: load and rate analysis, URL lexical pattern scoring, redirect chain integrity verification, and file-level sandbox inspection including archive shallow analysis and magic byte mismatch detection. The system runs as a Windows tray application consuming approximately 0.2% of system RAM. This architecture represents a structural rather than statistical approach to threat detection, in which a file or network interaction is evaluated by its internal consistency and topological properties rather than by resemblance to previously catalogued threats.</w:t>
      </w:r>
    </w:p>
    <w:p>
      <w:pPr>
        <w:spacing w:after="60" w:before="120"/>
      </w:pPr>
    </w:p>
    <w:p>
      <w:pPr>
        <w:pBdr>
          <w:bottom w:val="single" w:color="000000" w:sz="6" w:space="1"/>
        </w:pBdr>
        <w:spacing w:after="120" w:before="120"/>
      </w:pPr>
    </w:p>
    <w:p>
      <w:pPr>
        <w:spacing w:after="180" w:before="360"/>
      </w:pPr>
      <w:r>
        <w:rPr>
          <w:rFonts w:ascii="Times New Roman" w:cs="Times New Roman" w:eastAsia="Times New Roman" w:hAnsi="Times New Roman"/>
          <w:b/>
          <w:bCs/>
          <w:sz w:val="36"/>
          <w:szCs w:val="36"/>
        </w:rPr>
        <w:t xml:space="preserve">1. Introduction</w:t>
      </w:r>
    </w:p>
    <w:p>
      <w:pPr>
        <w:spacing w:after="60" w:before="60"/>
        <w:jc w:val="both"/>
      </w:pPr>
      <w:r>
        <w:rPr>
          <w:rFonts w:ascii="Times New Roman" w:cs="Times New Roman" w:eastAsia="Times New Roman" w:hAnsi="Times New Roman"/>
          <w:b w:val="false"/>
          <w:bCs w:val="false"/>
          <w:i w:val="false"/>
          <w:iCs w:val="false"/>
          <w:sz w:val="24"/>
          <w:szCs w:val="24"/>
        </w:rPr>
        <w:t xml:space="preserve">Classical antivirus systems are built on a detection paradigm that requires prior knowledge of a threat. A malicious file must have been observed, catalogued, and distributed to endpoint agents before it can be blocked. This model creates a structural delay between the emergence of a threat and its containment. Zero-day attacks, polymorphic payloads, and semantic deception techniques such as double-extension filenames exploit precisely this gap.</w:t>
      </w:r>
    </w:p>
    <w:p>
      <w:pPr>
        <w:spacing w:after="60" w:before="120"/>
      </w:pPr>
    </w:p>
    <w:p>
      <w:pPr>
        <w:spacing w:after="60" w:before="60"/>
        <w:jc w:val="both"/>
      </w:pPr>
      <w:r>
        <w:rPr>
          <w:rFonts w:ascii="Times New Roman" w:cs="Times New Roman" w:eastAsia="Times New Roman" w:hAnsi="Times New Roman"/>
          <w:b w:val="false"/>
          <w:bCs w:val="false"/>
          <w:i w:val="false"/>
          <w:iCs w:val="false"/>
          <w:sz w:val="24"/>
          <w:szCs w:val="24"/>
        </w:rPr>
        <w:t xml:space="preserve">Behavioral detection systems represent a partial improvement but introduce their own limitations. They require cloud connectivity for telemetry analysis, carry significant memory and CPU overhead, and depend on large training corpora that bias detection toward known threat families. Neither model is well-suited to air-gapped or resource-constrained environments.</w:t>
      </w:r>
    </w:p>
    <w:p>
      <w:pPr>
        <w:spacing w:after="60" w:before="120"/>
      </w:pPr>
    </w:p>
    <w:p>
      <w:pPr>
        <w:spacing w:after="60" w:before="60"/>
        <w:jc w:val="both"/>
      </w:pPr>
      <w:r>
        <w:rPr>
          <w:rFonts w:ascii="Times New Roman" w:cs="Times New Roman" w:eastAsia="Times New Roman" w:hAnsi="Times New Roman"/>
          <w:b w:val="false"/>
          <w:bCs w:val="false"/>
          <w:i w:val="false"/>
          <w:iCs w:val="false"/>
          <w:sz w:val="24"/>
          <w:szCs w:val="24"/>
        </w:rPr>
        <w:t xml:space="preserve">UCM B2B addresses this gap through a fundamentally different principle: structural contradiction detection. Rather than asking whether an object resembles a known threat, the system asks whether the object is internally consistent. An executable masquerading as a PDF document fails this test not because it matches a known malware signature, but because its magic byte header contradicts its declared file extension. A URL containing redirect keywords pointing from a trusted academic source to an unknown foreign domain fails the redirect chain integrity check not because the destination is blacklisted, but because the structural trajectory of the interaction is inconsistent with its declared intent.</w:t>
      </w:r>
    </w:p>
    <w:p>
      <w:pPr>
        <w:spacing w:after="60" w:before="120"/>
      </w:pPr>
    </w:p>
    <w:p>
      <w:pPr>
        <w:spacing w:after="60" w:before="60"/>
        <w:jc w:val="both"/>
      </w:pPr>
      <w:r>
        <w:rPr>
          <w:rFonts w:ascii="Times New Roman" w:cs="Times New Roman" w:eastAsia="Times New Roman" w:hAnsi="Times New Roman"/>
          <w:b w:val="false"/>
          <w:bCs w:val="false"/>
          <w:i w:val="false"/>
          <w:iCs w:val="false"/>
          <w:sz w:val="24"/>
          <w:szCs w:val="24"/>
        </w:rPr>
        <w:t xml:space="preserve">This paper describes the architecture, pipeline, and detection logic of UCM B2B RC4, which is published as open-source software under CC BY 4.0.</w:t>
      </w:r>
    </w:p>
    <w:p>
      <w:pPr>
        <w:pBdr>
          <w:bottom w:val="single" w:color="000000" w:sz="6" w:space="1"/>
        </w:pBdr>
        <w:spacing w:after="120" w:before="120"/>
      </w:pPr>
    </w:p>
    <w:p>
      <w:pPr>
        <w:spacing w:after="180" w:before="360"/>
      </w:pPr>
      <w:r>
        <w:rPr>
          <w:rFonts w:ascii="Times New Roman" w:cs="Times New Roman" w:eastAsia="Times New Roman" w:hAnsi="Times New Roman"/>
          <w:b/>
          <w:bCs/>
          <w:sz w:val="36"/>
          <w:szCs w:val="36"/>
        </w:rPr>
        <w:t xml:space="preserve">2. Architecture Overview</w:t>
      </w:r>
    </w:p>
    <w:p>
      <w:pPr>
        <w:spacing w:after="60" w:before="60"/>
        <w:jc w:val="both"/>
      </w:pPr>
      <w:r>
        <w:rPr>
          <w:rFonts w:ascii="Times New Roman" w:cs="Times New Roman" w:eastAsia="Times New Roman" w:hAnsi="Times New Roman"/>
          <w:b w:val="false"/>
          <w:bCs w:val="false"/>
          <w:i w:val="false"/>
          <w:iCs w:val="false"/>
          <w:sz w:val="24"/>
          <w:szCs w:val="24"/>
        </w:rPr>
        <w:t xml:space="preserve">UCM B2B is implemented as a single C++ monolithic executable. It runs as a Windows background service with a system tray icon and produces user notifications only when a threat verdict is issued. The system binds a local HTTP server on 127.0.0.1:8888 which acts as a quarantine gateway for all external web and file interactions.</w:t>
      </w:r>
    </w:p>
    <w:p>
      <w:pPr>
        <w:spacing w:after="60" w:before="120"/>
      </w:pPr>
    </w:p>
    <w:p>
      <w:pPr>
        <w:spacing w:after="60" w:before="60"/>
        <w:jc w:val="both"/>
      </w:pPr>
      <w:r>
        <w:rPr>
          <w:rFonts w:ascii="Times New Roman" w:cs="Times New Roman" w:eastAsia="Times New Roman" w:hAnsi="Times New Roman"/>
          <w:b w:val="false"/>
          <w:bCs w:val="false"/>
          <w:i w:val="false"/>
          <w:iCs w:val="false"/>
          <w:sz w:val="24"/>
          <w:szCs w:val="24"/>
        </w:rPr>
        <w:t xml:space="preserve">The core architectural principle is quarantine-first: no external object reaches the host filesystem without passing through the full analysis pipeline. All incoming interactions are evaluated before release. This principle is embedded in the protocol definition and cannot be bypassed through configuration.</w:t>
      </w:r>
    </w:p>
    <w:p>
      <w:pPr>
        <w:spacing w:after="60" w:before="120"/>
      </w:pPr>
    </w:p>
    <w:p>
      <w:pPr>
        <w:spacing w:after="120" w:before="240"/>
      </w:pPr>
      <w:r>
        <w:rPr>
          <w:rFonts w:ascii="Times New Roman" w:cs="Times New Roman" w:eastAsia="Times New Roman" w:hAnsi="Times New Roman"/>
          <w:b/>
          <w:bCs/>
          <w:sz w:val="28"/>
          <w:szCs w:val="28"/>
        </w:rPr>
        <w:t xml:space="preserve">2.1 Pipeline Structure</w:t>
      </w:r>
    </w:p>
    <w:p>
      <w:pPr>
        <w:spacing w:after="60" w:before="60"/>
        <w:jc w:val="both"/>
      </w:pPr>
      <w:r>
        <w:rPr>
          <w:rFonts w:ascii="Times New Roman" w:cs="Times New Roman" w:eastAsia="Times New Roman" w:hAnsi="Times New Roman"/>
          <w:b w:val="false"/>
          <w:bCs w:val="false"/>
          <w:i w:val="false"/>
          <w:iCs w:val="false"/>
          <w:sz w:val="24"/>
          <w:szCs w:val="24"/>
        </w:rPr>
        <w:t xml:space="preserve">The full pipeline operates as follows:</w:t>
      </w:r>
    </w:p>
    <w:p>
      <w:pPr>
        <w:spacing w:after="60" w:before="120"/>
      </w:pPr>
    </w:p>
    <w:p>
      <w:pPr>
        <w:spacing w:after="40" w:before="40"/>
      </w:pPr>
      <w:r>
        <w:rPr>
          <w:rFonts w:ascii="Courier New" w:cs="Courier New" w:eastAsia="Courier New" w:hAnsi="Courier New"/>
          <w:sz w:val="24"/>
          <w:szCs w:val="24"/>
        </w:rPr>
        <w:t xml:space="preserve">Stage 1   -&gt;  Load and DDoS analysis</w:t>
      </w:r>
    </w:p>
    <w:p>
      <w:pPr>
        <w:spacing w:after="40" w:before="40"/>
      </w:pPr>
      <w:r>
        <w:rPr>
          <w:rFonts w:ascii="Courier New" w:cs="Courier New" w:eastAsia="Courier New" w:hAnsi="Courier New"/>
          <w:sz w:val="24"/>
          <w:szCs w:val="24"/>
        </w:rPr>
        <w:t xml:space="preserve">Stage 2   -&gt;  URL capability and content filter</w:t>
      </w:r>
    </w:p>
    <w:p>
      <w:pPr>
        <w:spacing w:after="40" w:before="40"/>
      </w:pPr>
      <w:r>
        <w:rPr>
          <w:rFonts w:ascii="Courier New" w:cs="Courier New" w:eastAsia="Courier New" w:hAnsi="Courier New"/>
          <w:sz w:val="24"/>
          <w:szCs w:val="24"/>
        </w:rPr>
        <w:t xml:space="preserve">Stage 2.5 -&gt;  URL lexical pattern scoring</w:t>
      </w:r>
    </w:p>
    <w:p>
      <w:pPr>
        <w:spacing w:after="40" w:before="40"/>
      </w:pPr>
      <w:r>
        <w:rPr>
          <w:rFonts w:ascii="Courier New" w:cs="Courier New" w:eastAsia="Courier New" w:hAnsi="Courier New"/>
          <w:sz w:val="24"/>
          <w:szCs w:val="24"/>
        </w:rPr>
        <w:t xml:space="preserve">Fetch     -&gt;  External resource retrieval (quarantine buffer)</w:t>
      </w:r>
    </w:p>
    <w:p>
      <w:pPr>
        <w:spacing w:after="40" w:before="40"/>
      </w:pPr>
      <w:r>
        <w:rPr>
          <w:rFonts w:ascii="Courier New" w:cs="Courier New" w:eastAsia="Courier New" w:hAnsi="Courier New"/>
          <w:sz w:val="24"/>
          <w:szCs w:val="24"/>
        </w:rPr>
        <w:t xml:space="preserve">Stage 2.6 -&gt;  Redirect chain integrity analysis</w:t>
      </w:r>
    </w:p>
    <w:p>
      <w:pPr>
        <w:spacing w:after="40" w:before="40"/>
      </w:pPr>
      <w:r>
        <w:rPr>
          <w:rFonts w:ascii="Courier New" w:cs="Courier New" w:eastAsia="Courier New" w:hAnsi="Courier New"/>
          <w:sz w:val="24"/>
          <w:szCs w:val="24"/>
        </w:rPr>
        <w:t xml:space="preserve">Stage 3   -&gt;  File sandbox: extension, archive, magic bytes</w:t>
      </w:r>
    </w:p>
    <w:p>
      <w:pPr>
        <w:spacing w:after="40" w:before="40"/>
      </w:pPr>
      <w:r>
        <w:rPr>
          <w:rFonts w:ascii="Courier New" w:cs="Courier New" w:eastAsia="Courier New" w:hAnsi="Courier New"/>
          <w:sz w:val="24"/>
          <w:szCs w:val="24"/>
        </w:rPr>
        <w:t xml:space="preserve">Tray      -&gt;  Verdict notification</w:t>
      </w:r>
    </w:p>
    <w:p>
      <w:pPr>
        <w:spacing w:after="60" w:before="120"/>
      </w:pPr>
    </w:p>
    <w:p>
      <w:pPr>
        <w:spacing w:after="60" w:before="60"/>
        <w:jc w:val="both"/>
      </w:pPr>
      <w:r>
        <w:rPr>
          <w:rFonts w:ascii="Times New Roman" w:cs="Times New Roman" w:eastAsia="Times New Roman" w:hAnsi="Times New Roman"/>
          <w:b w:val="false"/>
          <w:bCs w:val="false"/>
          <w:i w:val="false"/>
          <w:iCs w:val="false"/>
          <w:sz w:val="24"/>
          <w:szCs w:val="24"/>
        </w:rPr>
        <w:t xml:space="preserve">Each stage may issue one of six verdicts: ADMIT, HOLD, QUARANTINE, REJECT, DETACH_SOURCE, or HUMAN_ARBITRATION. A QUARANTINE or REJECT verdict at any stage terminates the pipeline and prevents the object from reaching the host system.</w:t>
      </w:r>
    </w:p>
    <w:p>
      <w:pPr>
        <w:pBdr>
          <w:bottom w:val="single" w:color="000000" w:sz="6" w:space="1"/>
        </w:pBdr>
        <w:spacing w:after="120" w:before="120"/>
      </w:pPr>
    </w:p>
    <w:p>
      <w:pPr>
        <w:spacing w:after="180" w:before="360"/>
      </w:pPr>
      <w:r>
        <w:rPr>
          <w:rFonts w:ascii="Times New Roman" w:cs="Times New Roman" w:eastAsia="Times New Roman" w:hAnsi="Times New Roman"/>
          <w:b/>
          <w:bCs/>
          <w:sz w:val="36"/>
          <w:szCs w:val="36"/>
        </w:rPr>
        <w:t xml:space="preserve">3. Detection Stages</w:t>
      </w:r>
    </w:p>
    <w:p>
      <w:pPr>
        <w:spacing w:after="120" w:before="240"/>
      </w:pPr>
      <w:r>
        <w:rPr>
          <w:rFonts w:ascii="Times New Roman" w:cs="Times New Roman" w:eastAsia="Times New Roman" w:hAnsi="Times New Roman"/>
          <w:b/>
          <w:bCs/>
          <w:sz w:val="28"/>
          <w:szCs w:val="28"/>
        </w:rPr>
        <w:t xml:space="preserve">3.1 Stage 1 — Load and Rate Analysis</w:t>
      </w:r>
    </w:p>
    <w:p>
      <w:pPr>
        <w:spacing w:after="60" w:before="60"/>
        <w:jc w:val="both"/>
      </w:pPr>
      <w:r>
        <w:rPr>
          <w:rFonts w:ascii="Times New Roman" w:cs="Times New Roman" w:eastAsia="Times New Roman" w:hAnsi="Times New Roman"/>
          <w:b w:val="false"/>
          <w:bCs w:val="false"/>
          <w:i w:val="false"/>
          <w:iCs w:val="false"/>
          <w:sz w:val="24"/>
          <w:szCs w:val="24"/>
        </w:rPr>
        <w:t xml:space="preserve">Stage 1 implements connection rate limiting using a sliding-window algorithm applied both globally and per source IP address. The parameters are 40 requests per second globally and 5 requests per second per source. Requests exceeding these limits receive a HOLD verdict. Sources with repeated violations may receive DETACH_SOURCE, which blocks all further connections from that address for the session. This stage executes before any content processing, ensuring that load-based attacks cannot consume analysis resources.</w:t>
      </w:r>
    </w:p>
    <w:p>
      <w:pPr>
        <w:spacing w:after="60" w:before="120"/>
      </w:pPr>
    </w:p>
    <w:p>
      <w:pPr>
        <w:spacing w:after="120" w:before="240"/>
      </w:pPr>
      <w:r>
        <w:rPr>
          <w:rFonts w:ascii="Times New Roman" w:cs="Times New Roman" w:eastAsia="Times New Roman" w:hAnsi="Times New Roman"/>
          <w:b/>
          <w:bCs/>
          <w:sz w:val="28"/>
          <w:szCs w:val="28"/>
        </w:rPr>
        <w:t xml:space="preserve">3.2 Stage 2 — URL Capability Filter</w:t>
      </w:r>
    </w:p>
    <w:p>
      <w:pPr>
        <w:spacing w:after="60" w:before="60"/>
        <w:jc w:val="both"/>
      </w:pPr>
      <w:r>
        <w:rPr>
          <w:rFonts w:ascii="Times New Roman" w:cs="Times New Roman" w:eastAsia="Times New Roman" w:hAnsi="Times New Roman"/>
          <w:b w:val="false"/>
          <w:bCs w:val="false"/>
          <w:i w:val="false"/>
          <w:iCs w:val="false"/>
          <w:sz w:val="24"/>
          <w:szCs w:val="24"/>
        </w:rPr>
        <w:t xml:space="preserve">Stage 2 evaluates the requested URL for structural properties that indicate dangerous capability regardless of content. Forbidden URL schemes, private network targets, and hardcoded malicious patterns including PowerShell invocations, data URIs, and direct core-write keywords are blocked unconditionally. A scored heuristic evaluates combinations of suspicious lexical patterns that may indicate phishing or adware context.</w:t>
      </w:r>
    </w:p>
    <w:p>
      <w:pPr>
        <w:spacing w:after="60" w:before="120"/>
      </w:pPr>
    </w:p>
    <w:p>
      <w:pPr>
        <w:spacing w:after="120" w:before="240"/>
      </w:pPr>
      <w:r>
        <w:rPr>
          <w:rFonts w:ascii="Times New Roman" w:cs="Times New Roman" w:eastAsia="Times New Roman" w:hAnsi="Times New Roman"/>
          <w:b/>
          <w:bCs/>
          <w:sz w:val="28"/>
          <w:szCs w:val="28"/>
        </w:rPr>
        <w:t xml:space="preserve">3.3 Stage 2.5 — URL Lexical Pattern Scoring</w:t>
      </w:r>
    </w:p>
    <w:p>
      <w:pPr>
        <w:spacing w:after="60" w:before="60"/>
        <w:jc w:val="both"/>
      </w:pPr>
      <w:r>
        <w:rPr>
          <w:rFonts w:ascii="Times New Roman" w:cs="Times New Roman" w:eastAsia="Times New Roman" w:hAnsi="Times New Roman"/>
          <w:b w:val="false"/>
          <w:bCs w:val="false"/>
          <w:i w:val="false"/>
          <w:iCs w:val="false"/>
          <w:sz w:val="24"/>
          <w:szCs w:val="24"/>
        </w:rPr>
        <w:t xml:space="preserve">Stage 2.5 computes a risk score from the lexical structure of the URL prior to any network fetch. The score is composed of three weighted axes. The visible risk axis evaluates URL length, numeric IP as hostname, non-standard ports, subdomain depth, and encoded character density. The semantic risk axis detects social engineering vocabulary in URL components and double-extension filenames. The hidden risk axis detects punycode domains, redirect parameter keywords, and excessive query parameter counts. The effective risk is computed as R_eff = 0.4 * visible + 0.4 * semantic + 0.2 * hidden. URLs scoring above 0.55 are quarantined before any fetch operation is initiated.</w:t>
      </w:r>
    </w:p>
    <w:p>
      <w:pPr>
        <w:spacing w:after="60" w:before="120"/>
      </w:pPr>
    </w:p>
    <w:p>
      <w:pPr>
        <w:spacing w:after="120" w:before="240"/>
      </w:pPr>
      <w:r>
        <w:rPr>
          <w:rFonts w:ascii="Times New Roman" w:cs="Times New Roman" w:eastAsia="Times New Roman" w:hAnsi="Times New Roman"/>
          <w:b/>
          <w:bCs/>
          <w:sz w:val="28"/>
          <w:szCs w:val="28"/>
        </w:rPr>
        <w:t xml:space="preserve">3.4 Stage 2.6 — Redirect Chain Analysis</w:t>
      </w:r>
    </w:p>
    <w:p>
      <w:pPr>
        <w:spacing w:after="60" w:before="60"/>
        <w:jc w:val="both"/>
      </w:pPr>
      <w:r>
        <w:rPr>
          <w:rFonts w:ascii="Times New Roman" w:cs="Times New Roman" w:eastAsia="Times New Roman" w:hAnsi="Times New Roman"/>
          <w:b w:val="false"/>
          <w:bCs w:val="false"/>
          <w:i w:val="false"/>
          <w:iCs w:val="false"/>
          <w:sz w:val="24"/>
          <w:szCs w:val="24"/>
        </w:rPr>
        <w:t xml:space="preserve">Following the network fetch, Stage 2.6 evaluates the redirect chain observed during retrieval. Signals include redirect count, cross-domain jumps between original and final host, mismatch between the content type declared in response headers and the extension of the final URL, and transitions from trusted sources to untrusted destinations. A covert risk score is computed from these signals and may escalate a previously admitted URL to QUARANTINE.</w:t>
      </w:r>
    </w:p>
    <w:p>
      <w:pPr>
        <w:spacing w:after="60" w:before="120"/>
      </w:pPr>
    </w:p>
    <w:p>
      <w:pPr>
        <w:spacing w:after="120" w:before="240"/>
      </w:pPr>
      <w:r>
        <w:rPr>
          <w:rFonts w:ascii="Times New Roman" w:cs="Times New Roman" w:eastAsia="Times New Roman" w:hAnsi="Times New Roman"/>
          <w:b/>
          <w:bCs/>
          <w:sz w:val="28"/>
          <w:szCs w:val="28"/>
        </w:rPr>
        <w:t xml:space="preserve">3.5 Stage 3 — File Sandbox Inspection</w:t>
      </w:r>
    </w:p>
    <w:p>
      <w:pPr>
        <w:spacing w:after="60" w:before="60"/>
        <w:jc w:val="both"/>
      </w:pPr>
      <w:r>
        <w:rPr>
          <w:rFonts w:ascii="Times New Roman" w:cs="Times New Roman" w:eastAsia="Times New Roman" w:hAnsi="Times New Roman"/>
          <w:b w:val="false"/>
          <w:bCs w:val="false"/>
          <w:i w:val="false"/>
          <w:iCs w:val="false"/>
          <w:sz w:val="24"/>
          <w:szCs w:val="24"/>
        </w:rPr>
        <w:t xml:space="preserve">Stage 3 evaluates the retrieved file through three sequential checks. First, blocked executable extensions are rejected unconditionally. Second, if the file is identified as an archive by magic byte inspection, the archive shallow inspector reads the central directory metadata without extraction to detect embedded executables, nested archives, excessive compression ratios consistent with zip-bomb construction, and suspicious internal filenames. Third, magic byte inspection detects executable formats disguised under safe file extensions by comparing the first sixteen bytes of the file against a table of thirteen known signatures. A mismatch between declared extension and detected format triggers QUARANTINE.</w:t>
      </w:r>
    </w:p>
    <w:p>
      <w:pPr>
        <w:pBdr>
          <w:bottom w:val="single" w:color="000000" w:sz="6" w:space="1"/>
        </w:pBdr>
        <w:spacing w:after="120" w:before="120"/>
      </w:pPr>
    </w:p>
    <w:p>
      <w:pPr>
        <w:spacing w:after="180" w:before="360"/>
      </w:pPr>
      <w:r>
        <w:rPr>
          <w:rFonts w:ascii="Times New Roman" w:cs="Times New Roman" w:eastAsia="Times New Roman" w:hAnsi="Times New Roman"/>
          <w:b/>
          <w:bCs/>
          <w:sz w:val="36"/>
          <w:szCs w:val="36"/>
        </w:rPr>
        <w:t xml:space="preserve">4. Offline Operation</w:t>
      </w:r>
    </w:p>
    <w:p>
      <w:pPr>
        <w:spacing w:after="60" w:before="60"/>
        <w:jc w:val="both"/>
      </w:pPr>
      <w:r>
        <w:rPr>
          <w:rFonts w:ascii="Times New Roman" w:cs="Times New Roman" w:eastAsia="Times New Roman" w:hAnsi="Times New Roman"/>
          <w:b w:val="false"/>
          <w:bCs w:val="false"/>
          <w:i w:val="false"/>
          <w:iCs w:val="false"/>
          <w:sz w:val="24"/>
          <w:szCs w:val="24"/>
        </w:rPr>
        <w:t xml:space="preserve">UCM B2B operates without any external network dependency for its security logic. All detection is performed locally using structural analysis of the objects under evaluation. The system does not require signature database updates, cloud telemetry, or reputation API queries. This property makes it suitable for deployment in air-gapped networks, regulated environments prohibiting external data transmission, and resource-constrained systems where background cloud agent overhead is unacceptable.</w:t>
      </w:r>
    </w:p>
    <w:p>
      <w:pPr>
        <w:spacing w:after="60" w:before="120"/>
      </w:pPr>
    </w:p>
    <w:p>
      <w:pPr>
        <w:spacing w:after="60" w:before="60"/>
        <w:jc w:val="both"/>
      </w:pPr>
      <w:r>
        <w:rPr>
          <w:rFonts w:ascii="Times New Roman" w:cs="Times New Roman" w:eastAsia="Times New Roman" w:hAnsi="Times New Roman"/>
          <w:b w:val="false"/>
          <w:bCs w:val="false"/>
          <w:i w:val="false"/>
          <w:iCs w:val="false"/>
          <w:sz w:val="24"/>
          <w:szCs w:val="24"/>
        </w:rPr>
        <w:t xml:space="preserve">The only external network activity the system performs is the controlled fetch of user-requested URLs, which is itself routed through the quarantine pipeline. All other system operation is local.</w:t>
      </w:r>
    </w:p>
    <w:p>
      <w:pPr>
        <w:pBdr>
          <w:bottom w:val="single" w:color="000000" w:sz="6" w:space="1"/>
        </w:pBdr>
        <w:spacing w:after="120" w:before="120"/>
      </w:pPr>
    </w:p>
    <w:p>
      <w:pPr>
        <w:spacing w:after="180" w:before="360"/>
      </w:pPr>
      <w:r>
        <w:rPr>
          <w:rFonts w:ascii="Times New Roman" w:cs="Times New Roman" w:eastAsia="Times New Roman" w:hAnsi="Times New Roman"/>
          <w:b/>
          <w:bCs/>
          <w:sz w:val="36"/>
          <w:szCs w:val="36"/>
        </w:rPr>
        <w:t xml:space="preserve">5. Verdicts and Transparency</w:t>
      </w:r>
    </w:p>
    <w:p>
      <w:pPr>
        <w:spacing w:after="60" w:before="60"/>
        <w:jc w:val="both"/>
      </w:pPr>
      <w:r>
        <w:rPr>
          <w:rFonts w:ascii="Times New Roman" w:cs="Times New Roman" w:eastAsia="Times New Roman" w:hAnsi="Times New Roman"/>
          <w:b w:val="false"/>
          <w:bCs w:val="false"/>
          <w:i w:val="false"/>
          <w:iCs w:val="false"/>
          <w:sz w:val="24"/>
          <w:szCs w:val="24"/>
        </w:rPr>
        <w:t xml:space="preserve">A key design property of UCM B2B is explainability. Every verdict is accompanied by a machine-readable reason string that identifies the specific signal that triggered the decision. This differs from statistical detection systems which produce opaque probability scores. The reason string format follows the pattern SIGNAL_NAME:value, for example MAGIC_BLOCKED:PE_EXE or EXTENSION_MAGIC_MISMATCH:ZIP_JAR ext=.pdf. This allows administrators to audit decisions and adjust policy without access to proprietary models or training data.</w:t>
      </w:r>
    </w:p>
    <w:p>
      <w:pPr>
        <w:pBdr>
          <w:bottom w:val="single" w:color="000000" w:sz="6" w:space="1"/>
        </w:pBdr>
        <w:spacing w:after="120" w:before="120"/>
      </w:pPr>
    </w:p>
    <w:p>
      <w:pPr>
        <w:spacing w:after="180" w:before="360"/>
      </w:pPr>
      <w:r>
        <w:rPr>
          <w:rFonts w:ascii="Times New Roman" w:cs="Times New Roman" w:eastAsia="Times New Roman" w:hAnsi="Times New Roman"/>
          <w:b/>
          <w:bCs/>
          <w:sz w:val="36"/>
          <w:szCs w:val="36"/>
        </w:rPr>
        <w:t xml:space="preserve">6. Limitations</w:t>
      </w:r>
    </w:p>
    <w:p>
      <w:pPr>
        <w:spacing w:after="60" w:before="60"/>
        <w:jc w:val="both"/>
      </w:pPr>
      <w:r>
        <w:rPr>
          <w:rFonts w:ascii="Times New Roman" w:cs="Times New Roman" w:eastAsia="Times New Roman" w:hAnsi="Times New Roman"/>
          <w:b w:val="false"/>
          <w:bCs w:val="false"/>
          <w:i w:val="false"/>
          <w:iCs w:val="false"/>
          <w:sz w:val="24"/>
          <w:szCs w:val="24"/>
        </w:rPr>
        <w:t xml:space="preserve">UCM B2B does not perform dynamic behavioral analysis of executed code. It evaluates objects before execution and cannot detect threats that activate only under runtime conditions. It does not maintain a global threat intelligence database and therefore cannot flag known malicious domains or IP addresses by reputation. It does not inspect encrypted TLS traffic beyond what is visible in URL structure and response headers. These limitations are inherent to the lightweight, offline-first design philosophy and are documented so that operators can supplement UCM B2B with complementary controls where required.</w:t>
      </w:r>
    </w:p>
    <w:p>
      <w:pPr>
        <w:pBdr>
          <w:bottom w:val="single" w:color="000000" w:sz="6" w:space="1"/>
        </w:pBdr>
        <w:spacing w:after="120" w:before="120"/>
      </w:pPr>
    </w:p>
    <w:p>
      <w:pPr>
        <w:spacing w:after="180" w:before="360"/>
      </w:pPr>
      <w:r>
        <w:rPr>
          <w:rFonts w:ascii="Times New Roman" w:cs="Times New Roman" w:eastAsia="Times New Roman" w:hAnsi="Times New Roman"/>
          <w:b/>
          <w:bCs/>
          <w:sz w:val="36"/>
          <w:szCs w:val="36"/>
        </w:rPr>
        <w:t xml:space="preserve">7. Publication and Licensing</w:t>
      </w:r>
    </w:p>
    <w:p>
      <w:pPr>
        <w:spacing w:after="60" w:before="60"/>
        <w:jc w:val="both"/>
      </w:pPr>
      <w:r>
        <w:rPr>
          <w:rFonts w:ascii="Times New Roman" w:cs="Times New Roman" w:eastAsia="Times New Roman" w:hAnsi="Times New Roman"/>
          <w:b w:val="false"/>
          <w:bCs w:val="false"/>
          <w:i w:val="false"/>
          <w:iCs w:val="false"/>
          <w:sz w:val="24"/>
          <w:szCs w:val="24"/>
        </w:rPr>
        <w:t xml:space="preserve">UCM B2B RC4 is published as open-source software under the Creative Commons Attribution 4.0 International License. The source code is available for review, modification, and redistribution with attribution. The theoretical foundations of the system are described in the accompanying Mathematical Layer document. Machine-readable metadata for automated processing is provided in the AI Index document.</w:t>
      </w:r>
    </w:p>
    <w:p>
      <w:pPr>
        <w:spacing w:after="60" w:before="120"/>
      </w:pPr>
    </w:p>
    <w:p>
      <w:pPr>
        <w:spacing w:after="60" w:before="60"/>
        <w:jc w:val="both"/>
      </w:pPr>
      <w:r>
        <w:rPr>
          <w:rFonts w:ascii="Times New Roman" w:cs="Times New Roman" w:eastAsia="Times New Roman" w:hAnsi="Times New Roman"/>
          <w:b/>
          <w:bCs/>
          <w:i w:val="false"/>
          <w:iCs w:val="false"/>
          <w:sz w:val="24"/>
          <w:szCs w:val="24"/>
        </w:rPr>
        <w:t xml:space="preserve">Author: Andrey Stanko  ·  ORCID: 0009-0002-8081-6917</w:t>
      </w:r>
    </w:p>
    <w:p>
      <w:pPr>
        <w:spacing w:after="60" w:before="60"/>
        <w:jc w:val="both"/>
      </w:pPr>
      <w:r>
        <w:rPr>
          <w:rFonts w:ascii="Times New Roman" w:cs="Times New Roman" w:eastAsia="Times New Roman" w:hAnsi="Times New Roman"/>
          <w:b w:val="false"/>
          <w:bCs w:val="false"/>
          <w:i w:val="false"/>
          <w:iCs w:val="false"/>
          <w:sz w:val="24"/>
          <w:szCs w:val="24"/>
        </w:rPr>
        <w:t xml:space="preserve">Corpus Root DOI: 10.5281/zenodo.19108892</w:t>
      </w:r>
    </w:p>
    <w:p>
      <w:pPr>
        <w:spacing w:after="60" w:before="60"/>
        <w:jc w:val="both"/>
      </w:pPr>
      <w:r>
        <w:rPr>
          <w:rFonts w:ascii="Times New Roman" w:cs="Times New Roman" w:eastAsia="Times New Roman" w:hAnsi="Times New Roman"/>
          <w:b w:val="false"/>
          <w:bCs w:val="false"/>
          <w:i w:val="false"/>
          <w:iCs w:val="false"/>
          <w:sz w:val="24"/>
          <w:szCs w:val="24"/>
        </w:rPr>
        <w:t xml:space="preserve">License: CC BY 4.0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2026-05-30T19:10:09.346Z</dcterms:created>
  <dcterms:modified xsi:type="dcterms:W3CDTF">2026-05-30T19:10:09.346Z</dcterms:modified>
</cp:coreProperties>
</file>

<file path=docProps/custom.xml><?xml version="1.0" encoding="utf-8"?>
<Properties xmlns="http://schemas.openxmlformats.org/officeDocument/2006/custom-properties" xmlns:vt="http://schemas.openxmlformats.org/officeDocument/2006/docPropsVTypes"/>
</file>