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48"/>
          <w:szCs w:val="48"/>
        </w:rPr>
        <w:t xml:space="preserve">AI.EZDOC FINANCIAL REPORT</w:t>
      </w:r>
    </w:p>
    <w:p>
      <w:pPr>
        <w:pStyle w:val="Heading1"/>
      </w:pPr>
      <w:r>
        <w:t xml:space="preserve">Summary for พฤษภาคม 2569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Total Income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17,800 THB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Total Expense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1,886.5 THB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Net Profit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15,913.5 THB</w:t>
            </w:r>
          </w:p>
        </w:tc>
      </w:tr>
    </w:tbl>
    <w:p>
      <w:pPr>
        <w:spacing w:before="600"/>
      </w:pPr>
      <w:r>
        <w:rPr>
          <w:sz w:val="20"/>
          <w:szCs w:val="20"/>
        </w:rPr>
        <w:t xml:space="preserve">Generated by AI.EzDoc Universal Commander.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4E78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2026-05-25T17:51:16.217Z</dcterms:created>
  <dcterms:modified xsi:type="dcterms:W3CDTF">2026-05-25T17:51:16.217Z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