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60" w:before="1000"/>
      </w:pPr>
      <w:r>
        <w:drawing>
          <wp:inline distT="0" distB="0" distL="0" distR="0">
            <wp:extent cx="990600" cy="990600"/>
            <wp:effectExtent t="0" r="0" b="0" l="0"/>
            <wp:docPr id="1" name="J. Lynne &amp; Co. logo" descr="The J. Lynne &amp; Co. mark: a stylised bull rendered in blue." title="J. Lynne &amp; Co.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PRIVATE SECTOR EDITION</w:t>
      </w:r>
    </w:p>
    <w:p>
      <w:pPr>
        <w:pStyle w:val="Title"/>
        <w:spacing w:after="190"/>
      </w:pPr>
      <w:r>
        <w:rPr>
          <w:rFonts w:ascii="Poppins" w:cs="Poppins" w:eastAsia="Poppins" w:hAnsi="Poppins"/>
          <w:b/>
          <w:bCs/>
          <w:color w:val="14161A"/>
          <w:sz w:val="58"/>
          <w:szCs w:val="58"/>
        </w:rPr>
        <w:t xml:space="preserve">Board</w:t>
      </w:r>
    </w:p>
    <w:p>
      <w:pPr>
        <w:spacing w:after="190"/>
      </w:pPr>
      <w:r>
        <w:rPr>
          <w:rFonts w:ascii="Poppins" w:cs="Poppins" w:eastAsia="Poppins" w:hAnsi="Poppins"/>
          <w:b/>
          <w:bCs/>
          <w:color w:val="2552DE"/>
          <w:sz w:val="58"/>
          <w:szCs w:val="58"/>
        </w:rPr>
        <w:t xml:space="preserve">Checklist</w:t>
      </w:r>
    </w:p>
    <w:p>
      <w:pPr>
        <w:pBdr>
          <w:bottom w:val="single" w:color="C9A227" w:sz="12"/>
        </w:pBdr>
        <w:spacing w:after="300" w:before="90"/>
      </w:pPr>
      <w:r>
        <w:rPr>
          <w:sz w:val="2"/>
          <w:szCs w:val="2"/>
        </w:rPr>
        <w:t xml:space="preserve"/>
      </w:r>
    </w:p>
    <w:p>
      <w:pPr>
        <w:spacing w:after="200" w:line="340"/>
      </w:pPr>
      <w:r>
        <w:rPr>
          <w:rFonts w:ascii="Inter" w:cs="Inter" w:eastAsia="Inter" w:hAnsi="Inter"/>
          <w:color w:val="4A4F58"/>
          <w:sz w:val="26"/>
          <w:szCs w:val="26"/>
        </w:rPr>
        <w:t xml:space="preserve">Twenty-four questions a board and audit committee can use to review its own practice on a major technology program.</w:t>
      </w:r>
    </w:p>
    <w:p>
      <w:pPr>
        <w:spacing w:after="60" w:before="1900"/>
      </w:pPr>
      <w:r>
        <w:rPr>
          <w:rFonts w:ascii="Poppins" w:cs="Poppins" w:eastAsia="Poppins" w:hAnsi="Poppins"/>
          <w:b/>
          <w:bCs/>
          <w:color w:val="14161A"/>
          <w:sz w:val="22"/>
          <w:szCs w:val="22"/>
        </w:rPr>
        <w:t xml:space="preserve">J. Lynne &amp; Co.</w:t>
      </w:r>
    </w:p>
    <w:p>
      <w:r>
        <w:rPr>
          <w:rFonts w:ascii="Inter" w:cs="Inter" w:eastAsia="Inter" w:hAnsi="Inter"/>
          <w:i/>
          <w:iCs/>
          <w:color w:val="4A4F58"/>
          <w:sz w:val="20"/>
          <w:szCs w:val="20"/>
        </w:rPr>
        <w:t xml:space="preserve">The patience to see it. The drive to move it.</w:t>
      </w:r>
    </w:p>
    <w:p>
      <w:r>
        <w:br w:type="page"/>
      </w:r>
    </w:p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HOW TO USE THIS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A board does not run a technology program. It decides whether the program should continue, and answers for the outcome either way. Those are different jobs and they need different information.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This checklist is about the board’s own practice rather than the project: what it receives, what it asks, what it settled in advance, and what its record holds.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Mark each statement Yes, No, or Not sure, answering for the board as a body. Many boards find it useful to have the board chair, the audit committee chair, and the chief executive complete it separately and compare.</w:t>
      </w:r>
    </w:p>
    <w:p>
      <w:pPr>
        <w:spacing w:after="140" w:before="220"/>
      </w:pP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C9A227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About the three columns</w:t>
      </w: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A No marks something known and not yet done. A Not sure marks something believed but not tested.</w:t>
      </w: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They lead to different next steps. A No can be assigned to someone. A Not sure usually needs someone to go and check first.</w:t>
      </w:r>
    </w:p>
    <w:p>
      <w:pPr>
        <w:keepLines/>
        <w:pBdr>
          <w:left w:val="single" w:color="C9A227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01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INFORMATION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we receive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reports show when the project team first knew about a problem, not only when we were told.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receive a written update far enough ahead of the meeting to read it properly.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Reports name specific risks and decisions, not only a color or a percentage complete.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are told what changed since the last report, and why it changed.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see spending against the amount we originally approved, not only against the latest revised figure.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At least once, we have heard about this program from someone who does not report to it.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02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ENQUIRY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we ask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what would have to happen for this program to be reported as behind.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who on our own staff is able to tell the vendor that something is not acceptable.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the team what worries them most, and expect an answer rather than a reassurance.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what has been dropped from the plan in order to protect the date.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what the first week after go-live will be like for customers and for front-line staff.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who owns the results once the vendor’s team has gone.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03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DECISIONS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we settled in advance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what this program must deliver before we approved the money.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what would cause us to pause it, and who has the authority to call that.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which decisions belong to the board and which belong to management.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how large a change has to be before it returns to us for approval.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what we would tell customers, and when.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how long we will keep measuring results after go-live, and who reports them.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04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THE RECORD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our minutes hold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minutes record the decision, the options considered, and the risk we accepted.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minutes record the questions the board asked and the answers it received.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can show why this vendor was chosen and who else was considered.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can show who approved each change to scope, budget, or date.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vendor review file is kept current rather than completed once at signing.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Someone could follow our reasoning a year from now without asking us — an auditor, a diligence team, or a future board.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READING YOUR ANSWERS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Count the No and Not sure answers together, out of 24.</w:t>
      </w:r>
    </w:p>
    <w:p>
      <w:pP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8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WHAT THAT USUALLY MEANS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0–3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Few open items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Most of what this covers is settled. The remaining items are specific enough to assign individually.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4–8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A common range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Most boards completing this land here. These are usually habits rather than gaps, and habits tend to change quickly once named.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9–14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A wide spread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Enough is open that the items interact. Sections 01 and 02 are where most boards start, since the rest depends on what information arrives.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15+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Most items open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The majority has not been settled. This is common where a program was underway before the board’s role was defined, and the list works as a starting agenda.</w:t>
            </w:r>
          </w:p>
        </w:tc>
      </w:tr>
    </w:tbl>
    <w:p>
      <w:pPr>
        <w:spacing w:after="140" w:before="300"/>
      </w:pP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1B9E8E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Where the answers cluster</w:t>
      </w: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Section 01 concerns what the board can see. Section 02 concerns what it asks. Section 03 concerns what was settled while there was time. Section 04 concerns what remains afterward.</w:t>
      </w: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Each has a different remedy, and section 03 is usually the least expensive place to begin.</w:t>
      </w:r>
    </w:p>
    <w:p>
      <w:pPr>
        <w:keepLines/>
        <w:pBdr>
          <w:left w:val="single" w:color="1B9E8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ABOUT J. LYNNE &amp; CO.</w:t>
      </w:r>
    </w:p>
    <w:p>
      <w:pPr>
        <w:spacing w:after="300"/>
      </w:pPr>
      <w:r>
        <w:drawing>
          <wp:inline distT="0" distB="0" distL="0" distR="0">
            <wp:extent cx="723900" cy="723900"/>
            <wp:effectExtent t="0" r="0" b="0" l="0"/>
            <wp:docPr id="1" name="J. Lynne &amp; Co. logo" descr="The J. Lynne &amp; Co. mark: a stylised bull rendered in blue." title="J. Lynne &amp; Co.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J. Lynne &amp; Co. is an independent governance advisory firm working with organizations to lead major transformations with confidence. We take no vendor commissions and hold no reseller agreements.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We publish reference material of this kind for executives, boards, and program sponsors. If it is useful, you are welcome to adapt it for your own organization.</w:t>
      </w:r>
    </w:p>
    <w:p>
      <w:pPr>
        <w:spacing w:after="140" w:before="240"/>
      </w:pP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2552DE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If you would like to talk</w:t>
      </w: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We are happy to answer questions about anything on this list, or to look at a program you have underway.</w:t>
      </w: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Website:  </w:t>
      </w:r>
      <w:hyperlink w:history="1" r:id="rIdmew4app0psfe5klcmejrh">
        <w:r>
          <w:rPr>
            <w:rFonts w:ascii="Inter" w:cs="Inter" w:eastAsia="Inter" w:hAnsi="Inter"/>
            <w:color w:val="2552DE"/>
            <w:sz w:val="20"/>
            <w:szCs w:val="20"/>
            <w:u w:val="single" w:color="2552DE"/>
          </w:rPr>
          <w:t xml:space="preserve">jlynne.co</w:t>
        </w:r>
      </w:hyperlink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Book a conversation:  </w:t>
      </w:r>
      <w:hyperlink w:history="1" r:id="rIdcg4lrxza2eftmpgh5lkyw">
        <w:r>
          <w:rPr>
            <w:rFonts w:ascii="Inter" w:cs="Inter" w:eastAsia="Inter" w:hAnsi="Inter"/>
            <w:color w:val="2552DE"/>
            <w:sz w:val="20"/>
            <w:szCs w:val="20"/>
            <w:u w:val="single" w:color="2552DE"/>
          </w:rPr>
          <w:t xml:space="preserve">jlynne.co/contact</w:t>
        </w:r>
      </w:hyperlink>
    </w:p>
    <w:p>
      <w:pPr>
        <w:keepLines/>
        <w:pBdr>
          <w:left w:val="single" w:color="2552D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spacing w:before="700"/>
      </w:pPr>
    </w:p>
    <w:p>
      <w:pPr>
        <w:pBdr>
          <w:bottom w:val="single" w:color="E9EBF0" w:sz="6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90" w:line="264"/>
      </w:pPr>
      <w:r>
        <w:rPr>
          <w:rFonts w:ascii="Inter" w:cs="Inter" w:eastAsia="Inter" w:hAnsi="Inter"/>
          <w:color w:val="4A4F58"/>
          <w:sz w:val="18"/>
          <w:szCs w:val="18"/>
        </w:rPr>
        <w:t xml:space="preserve">This document is general reference material. It is not legal, accounting, or regulatory advice, and it is not a substitute for professional counsel on your organization’s circumstances.</w:t>
      </w:r>
    </w:p>
    <w:p>
      <w:pPr>
        <w:spacing w:after="90" w:line="264"/>
      </w:pPr>
      <w:r>
        <w:rPr>
          <w:rFonts w:ascii="Inter" w:cs="Inter" w:eastAsia="Inter" w:hAnsi="Inter"/>
          <w:color w:val="4A4F58"/>
          <w:sz w:val="18"/>
          <w:szCs w:val="18"/>
        </w:rPr>
        <w:t xml:space="preserve">© 2026 J. Lynne &amp; Co. All rights reserved.</w:t>
      </w:r>
    </w:p>
    <w:sectPr>
      <w:footerReference w:type="default" r:id="rId7"/>
      <w:pgSz w:w="12240" w:h="15840" w:orient="portrait"/>
      <w:pgMar w:top="144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9EBF0" w:sz="6"/>
      </w:pBdr>
      <w:spacing w:after="80" w:before="0"/>
    </w:pPr>
    <w:r>
      <w:rPr>
        <w:sz w:val="2"/>
        <w:szCs w:val="2"/>
      </w:rPr>
      <w:t xml:space="preserve"/>
    </w:r>
  </w:p>
  <w:p>
    <w:pPr>
      <w:tabs>
        <w:tab w:val="right" w:pos="9360"/>
      </w:tabs>
    </w:pPr>
    <w:r>
      <w:rPr>
        <w:rFonts w:ascii="Inter" w:cs="Inter" w:eastAsia="Inter" w:hAnsi="Inter"/>
        <w:color w:val="4A4F58"/>
        <w:sz w:val="18"/>
        <w:szCs w:val="18"/>
      </w:rPr>
      <w:t xml:space="preserve">Board Checklist</w:t>
    </w:r>
    <w:r>
      <w:rPr>
        <w:rFonts w:ascii="Inter" w:cs="Inter" w:eastAsia="Inter" w:hAnsi="Inter"/>
        <w:sz w:val="18"/>
        <w:szCs w:val="18"/>
      </w:rPr>
      <w:t xml:space="preserve">	</w:t>
    </w:r>
    <w:r>
      <w:rPr>
        <w:rFonts w:ascii="Inter" w:cs="Inter" w:eastAsia="Inter" w:hAnsi="Inter"/>
        <w:color w:val="4A4F58"/>
        <w:sz w:val="18"/>
        <w:szCs w:val="18"/>
      </w:rPr>
      <w:t xml:space="preserve">J. Lynne &amp; Co.</w:t>
    </w:r>
    <w:r>
      <w:rPr>
        <w:rFonts w:ascii="Inter" w:cs="Inter" w:eastAsia="Inter" w:hAnsi="Inter"/>
        <w:color w:val="7F6619"/>
        <w:sz w:val="18"/>
        <w:szCs w:val="18"/>
      </w:rPr>
      <w:t xml:space="preserve"> · </w:t>
    </w:r>
    <w:r>
      <w:rPr>
        <w:rFonts w:ascii="Inter" w:cs="Inter" w:eastAsia="Inter" w:hAnsi="Inter"/>
        <w:b/>
        <w:bCs/>
        <w:color w:val="4A4F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4161A"/>
        <w:sz w:val="22"/>
        <w:szCs w:val="22"/>
        <w:lang w:val="en-US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Poppins" w:cs="Poppins" w:eastAsia="Poppins" w:hAnsi="Poppins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Poppins" w:cs="Poppins" w:eastAsia="Poppins" w:hAnsi="Poppins"/>
      <w:b/>
      <w:bCs/>
      <w:color w:val="2552DE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Poppins" w:cs="Poppins" w:eastAsia="Poppins" w:hAnsi="Poppins"/>
      <w:b/>
      <w:bCs/>
      <w:color w:val="14161A"/>
      <w:sz w:val="21"/>
      <w:szCs w:val="21"/>
    </w:rPr>
  </w:style>
  <w:style w:type="paragraph" w:styleId="Title">
    <w:name w:val="Title"/>
    <w:basedOn w:val="Normal"/>
    <w:next w:val="Normal"/>
    <w:qFormat/>
    <w:rPr>
      <w:rFonts w:ascii="Poppins" w:cs="Poppins" w:eastAsia="Poppins" w:hAnsi="Poppins"/>
      <w:b/>
      <w:bCs/>
      <w:color w:val="14161A"/>
      <w:sz w:val="58"/>
      <w:szCs w:val="5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ew4app0psfe5klcmejrh" Type="http://schemas.openxmlformats.org/officeDocument/2006/relationships/hyperlink" Target="https://jlynne.co" TargetMode="External"/><Relationship Id="rIdcg4lrxza2eftmpgh5lkyw" Type="http://schemas.openxmlformats.org/officeDocument/2006/relationships/hyperlink" Target="https://jlynne.co/contact" TargetMode="External"/><Relationship Id="rId8" Type="http://schemas.openxmlformats.org/officeDocument/2006/relationships/image" Target="media/fc988f3b224f6f78f894961ef07cbfa27978904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Checklist — Private sector edition</dc:title>
  <dc:creator>J. Lynne &amp; Co.</dc:creator>
  <dc:description>Twenty-four questions a board and audit committee can use to review its own practice on a major technology program.</dc:description>
  <cp:lastModifiedBy>Un-named</cp:lastModifiedBy>
  <cp:revision>1</cp:revision>
  <dcterms:created xsi:type="dcterms:W3CDTF">2026-07-31T14:47:08.627Z</dcterms:created>
  <dcterms:modified xsi:type="dcterms:W3CDTF">2026-07-31T14:47:08.627Z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