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60" w:before="1000"/>
      </w:pPr>
      <w:r>
        <w:drawing>
          <wp:inline distT="0" distB="0" distL="0" distR="0">
            <wp:extent cx="990600" cy="9906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HIGHER EDUCATION AND NONPROFIT EDITION</w:t>
      </w:r>
    </w:p>
    <w:p>
      <w:pPr>
        <w:pStyle w:val="Title"/>
        <w:spacing w:after="190"/>
      </w:pPr>
      <w:r>
        <w:rPr>
          <w:rFonts w:ascii="Poppins" w:cs="Poppins" w:eastAsia="Poppins" w:hAnsi="Poppins"/>
          <w:b/>
          <w:bCs/>
          <w:color w:val="14161A"/>
          <w:sz w:val="54"/>
          <w:szCs w:val="54"/>
        </w:rPr>
        <w:t xml:space="preserve">Governance</w:t>
      </w:r>
    </w:p>
    <w:p>
      <w:pPr>
        <w:spacing w:after="190"/>
      </w:pPr>
      <w:r>
        <w:rPr>
          <w:rFonts w:ascii="Poppins" w:cs="Poppins" w:eastAsia="Poppins" w:hAnsi="Poppins"/>
          <w:b/>
          <w:bCs/>
          <w:color w:val="2552DE"/>
          <w:sz w:val="54"/>
          <w:szCs w:val="54"/>
        </w:rPr>
        <w:t xml:space="preserve">Readiness</w:t>
      </w:r>
    </w:p>
    <w:p>
      <w:pPr>
        <w:spacing w:after="190"/>
      </w:pPr>
      <w:r>
        <w:rPr>
          <w:rFonts w:ascii="Poppins" w:cs="Poppins" w:eastAsia="Poppins" w:hAnsi="Poppins"/>
          <w:b/>
          <w:bCs/>
          <w:color w:val="14161A"/>
          <w:sz w:val="54"/>
          <w:szCs w:val="54"/>
        </w:rPr>
        <w:t xml:space="preserve">Checklist</w:t>
      </w:r>
    </w:p>
    <w:p>
      <w:pPr>
        <w:pBdr>
          <w:bottom w:val="single" w:color="C9A227" w:sz="12"/>
        </w:pBdr>
        <w:spacing w:after="300" w:before="90"/>
      </w:pPr>
      <w:r>
        <w:rPr>
          <w:sz w:val="2"/>
          <w:szCs w:val="2"/>
        </w:rPr>
        <w:t xml:space="preserve"/>
      </w:r>
    </w:p>
    <w:p>
      <w:pPr>
        <w:spacing w:after="200" w:line="340"/>
      </w:pPr>
      <w:r>
        <w:rPr>
          <w:rFonts w:ascii="Inter" w:cs="Inter" w:eastAsia="Inter" w:hAnsi="Inter"/>
          <w:color w:val="4A4F58"/>
          <w:sz w:val="26"/>
          <w:szCs w:val="26"/>
        </w:rPr>
        <w:t xml:space="preserve">How your institution makes, challenges, and records decisions — before any particular program is on the table.</w:t>
      </w:r>
    </w:p>
    <w:p>
      <w:pPr>
        <w:spacing w:after="60" w:before="1900"/>
      </w:pPr>
      <w:r>
        <w:rPr>
          <w:rFonts w:ascii="Poppins" w:cs="Poppins" w:eastAsia="Poppins" w:hAnsi="Poppins"/>
          <w:b/>
          <w:bCs/>
          <w:color w:val="14161A"/>
          <w:sz w:val="22"/>
          <w:szCs w:val="22"/>
        </w:rPr>
        <w:t xml:space="preserve">J. Lynne &amp; Co.</w:t>
      </w:r>
    </w:p>
    <w:p>
      <w:r>
        <w:rPr>
          <w:rFonts w:ascii="Inter" w:cs="Inter" w:eastAsia="Inter" w:hAnsi="Inter"/>
          <w:i/>
          <w:iCs/>
          <w:color w:val="4A4F58"/>
          <w:sz w:val="20"/>
          <w:szCs w:val="20"/>
        </w:rPr>
        <w:t xml:space="preserve">The patience to see it. The drive to move it.</w:t>
      </w:r>
    </w:p>
    <w:p>
      <w:r>
        <w:br w:type="pag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HOW TO USE THIS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Most governance checklists arrive attached to a project. This one does not. It asks how the institution decides things generally, on an ordinary week.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That is worth knowing separately, because whatever habits an organization already has are the habits a large program inherits. The four sections cover what oversight can see, how decisions get made, what the record holds, and whether there is capacity to take on more.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Mark each statement Yes, No, or Not sure, answering for the organization rather than for yourself.</w:t>
      </w:r>
    </w:p>
    <w:p>
      <w:pPr>
        <w:spacing w:after="140" w:before="220"/>
      </w:pP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C9A227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About the three columns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A No marks something known and not yet done. A Not sure marks something believed but not tested.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They lead to different next steps. A No can be assigned to someone. A Not sure usually needs someone to go and check first.</w:t>
      </w:r>
    </w:p>
    <w:p>
      <w:pPr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01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OVERSIGHT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the board can see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board knows which technology decisions need its approval and which do not.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Technology risk reaches the board on a schedule, not only when something has gone wrong.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audit committee can raise a concern to the board without routing it through management.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board gets at least one independent view of major technology work each year.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Directors receive enough plain-language context to ask good questions without technical training.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board reviews how vendors are performing, not only what they cost.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New directors are briefed on the commitments we have already made.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02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MANAGEMENT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How decisions get made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Every core system has a named owner in the business who answers for how it performs.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roughly how long a significant decision takes here, from first raised to settled.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Staff have a route to raise a concern that does not depend on their own manager.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which decisions we have handed to vendors, whether or not we meant to.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Someone compares what we spend on technology against what we actually use.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There is a standing forum where operational and business staff set priorities together.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what we would do if the person who understands a key system left tomorrow.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03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THE RECORD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is written down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Decisions are recorded with the reasoning, not only the outcome.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policies describe what we actually do, not what we intended when they were written.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could walk a reviewer through how one specific decision was made, from start to finish.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Vendor contracts and review files are current and easy to find.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Access reviews, change approvals, and exceptions are written down as they happen.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Board and committee minutes record the questions asked, not only the motions carried.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At least once a year, someone checks whether the records match what really happens.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04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CAPACITY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can take on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how much change this institution can absorb in a year, and we plan inside that limit.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Staff who own systems have time set aside to own them, not only to use them.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can say what we expected from our last major system, and whether we got 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Someone here can read a technology contract for what it obliges us to do.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which systems we depend on most, and what happens to the people you serve if one fails.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revisit priorities on a regular schedule rather than once a year.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who would lead a major program if we started one this year.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READING YOUR ANSWERS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Count the No and Not sure answers together, out of 28.</w:t>
      </w:r>
    </w:p>
    <w:p>
      <w:pP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8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WHAT THAT USUALLY MEANS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0–4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Few open items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Most of what this covers is settled. A large program would be starting from a stable base.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5–11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common range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Ordinary for an organization of most sizes. These are usually addressed in the months before a large commitment.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12–19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wide spread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Enough is open that a large program would surface these rather than resolve them. A period of preparation first is common at this level.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20+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Most items open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The majority has not been settled. Organizations here often find the governance work is the more valuable project for the moment.</w:t>
            </w:r>
          </w:p>
        </w:tc>
      </w:tr>
    </w:tbl>
    <w:p>
      <w:pPr>
        <w:spacing w:after="140" w:before="300"/>
      </w:pP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1B9E8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Where the answers cluster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Section 01 points to what information reaches the board. Section 02 points to decision rights. Section 03 points to documentation — and a low score here often means an organization governs better than it can demonstrate. Section 04 points to capacity, which governance alone does not solve.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The four have different remedies, different costs, and different urgency.</w:t>
      </w:r>
    </w:p>
    <w:p>
      <w:pPr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ABOUT J. LYNNE &amp; CO.</w:t>
      </w:r>
    </w:p>
    <w:p>
      <w:pPr>
        <w:spacing w:after="300"/>
      </w:pPr>
      <w:r>
        <w:drawing>
          <wp:inline distT="0" distB="0" distL="0" distR="0">
            <wp:extent cx="723900" cy="7239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J. Lynne &amp; Co. is an independent governance advisory firm working with organizations to lead major transformations with confidence. We take no vendor commissions and hold no reseller agreements.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We publish reference material of this kind for executives, boards, and program sponsors. If it is useful, you are welcome to adapt it for your own organization.</w:t>
      </w:r>
    </w:p>
    <w:p>
      <w:pPr>
        <w:spacing w:after="140" w:before="240"/>
      </w:pP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2552D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If you would like to talk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 are happy to answer questions about anything on this list, or to talk through where to start.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Website:  </w:t>
      </w:r>
      <w:hyperlink w:history="1" r:id="rIdghzzci3mau9ymyy5furkf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</w:t>
        </w:r>
      </w:hyperlink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Book a conversation:  </w:t>
      </w:r>
      <w:hyperlink w:history="1" r:id="rIdhvxxz-dzxfnoioe1lvqa7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jlynne.co/contact</w:t>
        </w:r>
      </w:hyperlink>
    </w:p>
    <w:p>
      <w:pPr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spacing w:before="700"/>
      </w:pPr>
    </w:p>
    <w:p>
      <w:pPr>
        <w:pBdr>
          <w:bottom w:val="single" w:color="E9EBF0" w:sz="6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This document is general reference material. It is not legal, accounting, or regulatory advice, and it is not a substitute for professional counsel on your organization’s circumstances.</w:t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© 2026 J. Lynne &amp; Co. All rights reserved.</w:t>
      </w:r>
    </w:p>
    <w:sectPr>
      <w:footerReference w:type="default" r:id="rId7"/>
      <w:pgSz w:w="12240" w:h="15840" w:orient="portrait"/>
      <w:pgMar w:top="144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9EBF0" w:sz="6"/>
      </w:pBdr>
      <w:spacing w:after="80" w:before="0"/>
    </w:pPr>
    <w:r>
      <w:rPr>
        <w:sz w:val="2"/>
        <w:szCs w:val="2"/>
      </w:rPr>
      <w:t xml:space="preserve"/>
    </w:r>
  </w:p>
  <w:p>
    <w:pPr>
      <w:tabs>
        <w:tab w:val="right" w:pos="9360"/>
      </w:tabs>
    </w:pPr>
    <w:r>
      <w:rPr>
        <w:rFonts w:ascii="Inter" w:cs="Inter" w:eastAsia="Inter" w:hAnsi="Inter"/>
        <w:color w:val="4A4F58"/>
        <w:sz w:val="18"/>
        <w:szCs w:val="18"/>
      </w:rPr>
      <w:t xml:space="preserve">Governance Readiness Checklist</w:t>
    </w:r>
    <w:r>
      <w:rPr>
        <w:rFonts w:ascii="Inter" w:cs="Inter" w:eastAsia="Inter" w:hAnsi="Inter"/>
        <w:sz w:val="18"/>
        <w:szCs w:val="18"/>
      </w:rPr>
      <w:t xml:space="preserve">	</w:t>
    </w:r>
    <w:r>
      <w:rPr>
        <w:rFonts w:ascii="Inter" w:cs="Inter" w:eastAsia="Inter" w:hAnsi="Inter"/>
        <w:color w:val="4A4F58"/>
        <w:sz w:val="18"/>
        <w:szCs w:val="18"/>
      </w:rPr>
      <w:t xml:space="preserve">J. Lynne &amp; Co.</w:t>
    </w:r>
    <w:r>
      <w:rPr>
        <w:rFonts w:ascii="Inter" w:cs="Inter" w:eastAsia="Inter" w:hAnsi="Inter"/>
        <w:color w:val="7F6619"/>
        <w:sz w:val="18"/>
        <w:szCs w:val="18"/>
      </w:rPr>
      <w:t xml:space="preserve"> · </w:t>
    </w:r>
    <w:r>
      <w:rPr>
        <w:rFonts w:ascii="Inter" w:cs="Inter" w:eastAsia="Inter" w:hAnsi="Inter"/>
        <w:b/>
        <w:bCs/>
        <w:color w:val="4A4F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4161A"/>
        <w:sz w:val="22"/>
        <w:szCs w:val="22"/>
        <w:lang w:val="en-US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Poppins" w:cs="Poppins" w:eastAsia="Poppins" w:hAnsi="Poppins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Poppins" w:cs="Poppins" w:eastAsia="Poppins" w:hAnsi="Poppins"/>
      <w:b/>
      <w:bCs/>
      <w:color w:val="2552DE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Poppins" w:cs="Poppins" w:eastAsia="Poppins" w:hAnsi="Poppins"/>
      <w:b/>
      <w:bCs/>
      <w:color w:val="14161A"/>
      <w:sz w:val="21"/>
      <w:szCs w:val="21"/>
    </w:rPr>
  </w:style>
  <w:style w:type="paragraph" w:styleId="Title">
    <w:name w:val="Title"/>
    <w:basedOn w:val="Normal"/>
    <w:next w:val="Normal"/>
    <w:qFormat/>
    <w:rPr>
      <w:rFonts w:ascii="Poppins" w:cs="Poppins" w:eastAsia="Poppins" w:hAnsi="Poppins"/>
      <w:b/>
      <w:bCs/>
      <w:color w:val="14161A"/>
      <w:sz w:val="58"/>
      <w:szCs w:val="5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hzzci3mau9ymyy5furkf" Type="http://schemas.openxmlformats.org/officeDocument/2006/relationships/hyperlink" Target="https://jlynne.co" TargetMode="External"/><Relationship Id="rIdhvxxz-dzxfnoioe1lvqa7" Type="http://schemas.openxmlformats.org/officeDocument/2006/relationships/hyperlink" Target="https://jlynne.co/contact" TargetMode="External"/><Relationship Id="rId8" Type="http://schemas.openxmlformats.org/officeDocument/2006/relationships/image" Target="media/fc988f3b224f6f78f894961ef07cbfa2797890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 Readiness Checklist — Higher education and nonprofit edition</dc:title>
  <dc:creator>J. Lynne &amp; Co.</dc:creator>
  <dc:description>A standing review of how a institution makes, challenges, and records decisions, independent of any particular program.</dc:description>
  <cp:lastModifiedBy>Un-named</cp:lastModifiedBy>
  <cp:revision>1</cp:revision>
  <dcterms:created xsi:type="dcterms:W3CDTF">2026-07-31T14:47:08.967Z</dcterms:created>
  <dcterms:modified xsi:type="dcterms:W3CDTF">2026-07-31T14:47:08.967Z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