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A REFERENCE CHECKLIST</w:t>
      </w:r>
    </w:p>
    <w:p>
      <w:pPr>
        <w:pStyle w:val="Title"/>
        <w:spacing w:after="190"/>
      </w:pPr>
      <w:r>
        <w:rPr>
          <w:rFonts w:ascii="Poppins" w:cs="Poppins" w:eastAsia="Poppins" w:hAnsi="Poppins"/>
          <w:b/>
          <w:bCs/>
          <w:color w:val="14161A"/>
          <w:sz w:val="50"/>
          <w:szCs w:val="50"/>
        </w:rPr>
        <w:t xml:space="preserve">AI Governance</w:t>
      </w:r>
    </w:p>
    <w:p>
      <w:pPr>
        <w:spacing w:after="190"/>
      </w:pPr>
      <w:r>
        <w:rPr>
          <w:rFonts w:ascii="Poppins" w:cs="Poppins" w:eastAsia="Poppins" w:hAnsi="Poppins"/>
          <w:b/>
          <w:bCs/>
          <w:color w:val="2552DE"/>
          <w:sz w:val="50"/>
          <w:szCs w:val="50"/>
        </w:rPr>
        <w:t xml:space="preserve">Checklist</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Twenty-four questions covering where AI is in use, who approves it, what data it receives, and how problems get noticed.</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HOW TO USE THIS</w:t>
      </w:r>
    </w:p>
    <w:p>
      <w:pPr>
        <w:spacing w:after="150" w:line="288"/>
      </w:pPr>
      <w:r>
        <w:rPr>
          <w:rFonts w:ascii="Inter" w:cs="Inter" w:eastAsia="Inter" w:hAnsi="Inter"/>
          <w:color w:val="14161A"/>
          <w:sz w:val="22"/>
          <w:szCs w:val="22"/>
        </w:rPr>
        <w:t xml:space="preserve">The ways organizations run into difficulty with technology are well established: a decision made by someone who should not have been making it, a process nobody owns, information that turned out to be wrong, a supplier whose interests diverged. AI does not add to that list.</w:t>
      </w:r>
    </w:p>
    <w:p>
      <w:pPr>
        <w:spacing w:after="150" w:line="288"/>
      </w:pPr>
      <w:r>
        <w:rPr>
          <w:rFonts w:ascii="Inter" w:cs="Inter" w:eastAsia="Inter" w:hAnsi="Inter"/>
          <w:color w:val="14161A"/>
          <w:sz w:val="22"/>
          <w:szCs w:val="22"/>
        </w:rPr>
        <w:t xml:space="preserve">What it changes is how problems become visible. When a person makes a poor decision there is usually a trail — a message, a conversation, a name attached. When a system makes the same decision at scale, the output looks much the same on a good day and a bad one. So most of governing AI is about restoring visibility: knowing where it is, knowing who approved it, and being able to tell when it stops working well.</w:t>
      </w:r>
    </w:p>
    <w:p>
      <w:pPr>
        <w:spacing w:after="150" w:line="288"/>
      </w:pPr>
      <w:r>
        <w:rPr>
          <w:rFonts w:ascii="Inter" w:cs="Inter" w:eastAsia="Inter" w:hAnsi="Inter"/>
          <w:color w:val="14161A"/>
          <w:sz w:val="22"/>
          <w:szCs w:val="22"/>
        </w:rPr>
        <w:t xml:space="preserve">Mark each statement Yes, No, or Not sure, answering for the organization rather than for yourself. Section 01 is where most organizations find the largest gap, and the other three depend on it.</w:t>
      </w:r>
    </w:p>
    <w:p>
      <w:pPr>
        <w:spacing w:after="140" w:before="22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About the three columns</w:t>
      </w:r>
    </w:p>
    <w:p>
      <w:pPr>
        <w:keepNext/>
        <w:keepLines/>
        <w:pBdr>
          <w:left w:val="single" w:color="C9A227" w:sz="18" w:space="10"/>
        </w:pBdr>
        <w:shd w:fill="E9EBF0" w:color="auto" w:val="clear"/>
        <w:spacing w:after="100" w:before="0" w:line="288"/>
        <w:ind w:left="220" w:right="200"/>
      </w:pPr>
      <w:r>
        <w:rPr>
          <w:rFonts w:ascii="Inter" w:cs="Inter" w:eastAsia="Inter" w:hAnsi="Inter"/>
          <w:color w:val="14161A"/>
          <w:sz w:val="20"/>
          <w:szCs w:val="20"/>
        </w:rPr>
        <w:t xml:space="preserve">A No marks something known and not yet done. A Not sure marks something believed but not tested.</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They lead to different next steps. A No can be assigned to someone. A Not sure usually needs someone to go and check first.</w:t>
      </w:r>
    </w:p>
    <w:p>
      <w:pPr>
        <w:keepLines/>
        <w:pBdr>
          <w:left w:val="single" w:color="C9A227"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INVENTORY</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it is</w:t>
      </w:r>
    </w:p>
    <w:p>
      <w:pPr>
        <w:keepNext/>
        <w:keepLines/>
        <w:shd w:fill="2552DE" w:color="auto" w:val="clear"/>
        <w:spacing w:after="0" w:before="0" w:line="175"/>
        <w:ind w:left="0" w:right="0"/>
      </w:pPr>
      <w:r>
        <w:rPr>
          <w:sz w:val="10"/>
          <w:szCs w:val="10"/>
        </w:rPr>
        <w:t xml:space="preserve"/>
      </w:r>
    </w:p>
    <w:p>
      <w:pPr>
        <w:spacing w:after="1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1360"/>
        <w:gridCol w:w="1360"/>
        <w:gridCol w:w="1360"/>
      </w:tblGrid>
      <w:tr>
        <w:trPr>
          <w:tblHeader/>
        </w:trPr>
        <w:tc>
          <w:tcPr>
            <w:tcW w:type="dxa" w:w="52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left"/>
            </w:pPr>
            <w:r>
              <w:rPr>
                <w:rFonts w:ascii="Poppins" w:cs="Poppins" w:eastAsia="Poppins" w:hAnsi="Poppins"/>
                <w:b/>
                <w:bCs/>
                <w:color w:val="FFFFFF"/>
                <w:spacing w:val="40"/>
                <w:sz w:val="18"/>
                <w:szCs w:val="18"/>
              </w:rPr>
              <w:t xml:space="preserve">STATEMENT</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YES</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NOT SURE</w:t>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have a current list of where AI is used here, including tools staff started using on their own.</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which of our existing vendors have added AI features to products we already bought.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which of those uses affect decisions about people — hiring, lending, eligibility, discipline, or service.</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which of them receive confidential information.</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One named person is responsible for keeping that list current.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which uses we would want to explain carefully if asked about them publicly.</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APPROVAL</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Who decides</w:t>
      </w:r>
    </w:p>
    <w:p>
      <w:pPr>
        <w:keepNext/>
        <w:keepLines/>
        <w:shd w:fill="2552DE" w:color="auto" w:val="clear"/>
        <w:spacing w:after="0" w:before="0" w:line="175"/>
        <w:ind w:left="0" w:right="0"/>
      </w:pPr>
      <w:r>
        <w:rPr>
          <w:sz w:val="10"/>
          <w:szCs w:val="10"/>
        </w:rPr>
        <w:t xml:space="preserve"/>
      </w:r>
    </w:p>
    <w:p>
      <w:pPr>
        <w:spacing w:after="1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1360"/>
        <w:gridCol w:w="1360"/>
        <w:gridCol w:w="1360"/>
      </w:tblGrid>
      <w:tr>
        <w:trPr>
          <w:tblHeader/>
        </w:trPr>
        <w:tc>
          <w:tcPr>
            <w:tcW w:type="dxa" w:w="52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left"/>
            </w:pPr>
            <w:r>
              <w:rPr>
                <w:rFonts w:ascii="Poppins" w:cs="Poppins" w:eastAsia="Poppins" w:hAnsi="Poppins"/>
                <w:b/>
                <w:bCs/>
                <w:color w:val="FFFFFF"/>
                <w:spacing w:val="40"/>
                <w:sz w:val="18"/>
                <w:szCs w:val="18"/>
              </w:rPr>
              <w:t xml:space="preserve">STATEMENT</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YES</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NOT SURE</w:t>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have written down what AI may and may not be used for here.</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Someone specific approves a new AI use before it goes live.</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Every AI-assisted decision that affects a person has a named human who can overturn it.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Staff know when they are required to disclose that AI was used.</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what we would do, and who we would tell, if a tool produced a harmful or clearly wrong result.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Our board or governing body knows our current position on AI.</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DATA</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we have agreed to</w:t>
      </w:r>
    </w:p>
    <w:p>
      <w:pPr>
        <w:keepNext/>
        <w:keepLines/>
        <w:shd w:fill="2552DE" w:color="auto" w:val="clear"/>
        <w:spacing w:after="0" w:before="0" w:line="175"/>
        <w:ind w:left="0" w:right="0"/>
      </w:pPr>
      <w:r>
        <w:rPr>
          <w:sz w:val="10"/>
          <w:szCs w:val="10"/>
        </w:rPr>
        <w:t xml:space="preserve"/>
      </w:r>
    </w:p>
    <w:p>
      <w:pPr>
        <w:spacing w:after="1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1360"/>
        <w:gridCol w:w="1360"/>
        <w:gridCol w:w="1360"/>
      </w:tblGrid>
      <w:tr>
        <w:trPr>
          <w:tblHeader/>
        </w:trPr>
        <w:tc>
          <w:tcPr>
            <w:tcW w:type="dxa" w:w="52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left"/>
            </w:pPr>
            <w:r>
              <w:rPr>
                <w:rFonts w:ascii="Poppins" w:cs="Poppins" w:eastAsia="Poppins" w:hAnsi="Poppins"/>
                <w:b/>
                <w:bCs/>
                <w:color w:val="FFFFFF"/>
                <w:spacing w:val="40"/>
                <w:sz w:val="18"/>
                <w:szCs w:val="18"/>
              </w:rPr>
              <w:t xml:space="preserve">STATEMENT</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YES</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NOT SURE</w:t>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what information each AI tool receives and where that information goes.</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whether our data is being used to train someone else’s model.</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have checked our existing contracts for AI terms added after we signed them.</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which rules and regulations apply to the decisions we are automating.</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Staff have clear, specific guidance on what must never be entered into an AI tool.</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can retrieve or delete our data if we stop using a tool.</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bl>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DETECTION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How problems get noticed</w:t>
      </w:r>
    </w:p>
    <w:p>
      <w:pPr>
        <w:keepNext/>
        <w:keepLines/>
        <w:shd w:fill="2552DE" w:color="auto" w:val="clear"/>
        <w:spacing w:after="0" w:before="0" w:line="175"/>
        <w:ind w:left="0" w:right="0"/>
      </w:pPr>
      <w:r>
        <w:rPr>
          <w:sz w:val="10"/>
          <w:szCs w:val="10"/>
        </w:rPr>
        <w:t xml:space="preserve"/>
      </w:r>
    </w:p>
    <w:p>
      <w:pPr>
        <w:spacing w:after="1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1360"/>
        <w:gridCol w:w="1360"/>
        <w:gridCol w:w="1360"/>
      </w:tblGrid>
      <w:tr>
        <w:trPr>
          <w:tblHeader/>
        </w:trPr>
        <w:tc>
          <w:tcPr>
            <w:tcW w:type="dxa" w:w="52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left"/>
            </w:pPr>
            <w:r>
              <w:rPr>
                <w:rFonts w:ascii="Poppins" w:cs="Poppins" w:eastAsia="Poppins" w:hAnsi="Poppins"/>
                <w:b/>
                <w:bCs/>
                <w:color w:val="FFFFFF"/>
                <w:spacing w:val="40"/>
                <w:sz w:val="18"/>
                <w:szCs w:val="18"/>
              </w:rPr>
              <w:t xml:space="preserve">STATEMENT</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YES</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w:t>
            </w:r>
          </w:p>
        </w:tc>
        <w:tc>
          <w:tcPr>
            <w:tcW w:type="dxa" w:w="13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NOT SURE</w:t>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know how we would notice if a tool gradually started producing worse results.</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keep enough of a record to review a specific AI-assisted decision months later.</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Someone reviews a sample of outputs on a schedule, not only when there is a complaint.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have defined what working correctly means for each use, in terms we can measure.</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Staff and customers have a way to report a bad outcome, and we act on it.</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r>
        <w:trPr>
          <w:cantSplit/>
        </w:trPr>
        <w:tc>
          <w:tcPr>
            <w:tcW w:type="dxa" w:w="5280"/>
            <w:tcBorders>
              <w:top w:val="single" w:color="E9EBF0" w:sz="2"/>
              <w:left w:val="single" w:color="E9EBF0" w:sz="2"/>
              <w:bottom w:val="single" w:color="E9EBF0" w:sz="2"/>
              <w:right w:val="single" w:color="E9EBF0" w:sz="2"/>
            </w:tcBorders>
            <w:tcMar>
              <w:top w:type="dxa" w:w="130"/>
              <w:left w:type="dxa" w:w="150"/>
              <w:bottom w:type="dxa" w:w="130"/>
              <w:right w:type="dxa" w:w="150"/>
            </w:tcMar>
            <w:vAlign w:val="center"/>
          </w:tcPr>
          <w:p>
            <w:pPr>
              <w:spacing w:line="276"/>
            </w:pPr>
            <w:r>
              <w:rPr>
                <w:rFonts w:ascii="Inter" w:cs="Inter" w:eastAsia="Inter" w:hAnsi="Inter"/>
                <w:color w:val="14161A"/>
                <w:sz w:val="20"/>
                <w:szCs w:val="20"/>
              </w:rPr>
              <w:t xml:space="preserve">We revisit our approved uses at least once a year and remove those we no longer need.</w:t>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c>
          <w:tcPr>
            <w:tcW w:type="dxa" w:w="1360"/>
            <w:tcBorders>
              <w:top w:val="single" w:color="FFFFFF" w:sz="2"/>
              <w:left w:val="single" w:color="FFFFFF" w:sz="2"/>
              <w:bottom w:val="single" w:color="FFFFFF" w:sz="2"/>
              <w:right w:val="single" w:color="FFFFFF" w:sz="2"/>
            </w:tcBorders>
            <w:shd w:fill="E9EBF0" w:color="auto" w:val="clear"/>
            <w:tcMar>
              <w:top w:type="dxa" w:w="130"/>
              <w:left w:type="dxa" w:w="100"/>
              <w:bottom w:type="dxa" w:w="130"/>
              <w:right w:type="dxa" w:w="100"/>
            </w:tcMar>
          </w:tcPr>
          <w:p>
            <w:r>
              <w:rPr>
                <w:sz w:val="20"/>
                <w:szCs w:val="20"/>
              </w:rPr>
              <w:t xml:space="preserve"/>
            </w:r>
          </w:p>
        </w:tc>
      </w:tr>
    </w:tbl>
    <w:p>
      <w:pPr>
        <w:pStyle w:val="Heading2"/>
        <w:keepNext/>
        <w:pageBreakBefore/>
        <w:spacing w:after="130"/>
      </w:pPr>
      <w:r>
        <w:rPr>
          <w:rFonts w:ascii="Poppins" w:cs="Poppins" w:eastAsia="Poppins" w:hAnsi="Poppins"/>
          <w:b/>
          <w:bCs/>
          <w:color w:val="7F6619"/>
          <w:spacing w:val="60"/>
          <w:sz w:val="18"/>
          <w:szCs w:val="18"/>
        </w:rPr>
        <w:t xml:space="preserve">READING YOUR ANSWERS</w:t>
      </w:r>
    </w:p>
    <w:p>
      <w:pPr>
        <w:spacing w:after="150" w:line="288"/>
      </w:pPr>
      <w:r>
        <w:rPr>
          <w:rFonts w:ascii="Inter" w:cs="Inter" w:eastAsia="Inter" w:hAnsi="Inter"/>
          <w:color w:val="14161A"/>
          <w:sz w:val="22"/>
          <w:szCs w:val="22"/>
        </w:rPr>
        <w:t xml:space="preserve">Count the No and Not sure answers together, out of 24.</w:t>
      </w:r>
    </w:p>
    <w:p>
      <w:pP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center"/>
            </w:pPr>
            <w:r>
              <w:rPr>
                <w:rFonts w:ascii="Poppins" w:cs="Poppins" w:eastAsia="Poppins" w:hAnsi="Poppins"/>
                <w:b/>
                <w:bCs/>
                <w:color w:val="FFFFFF"/>
                <w:spacing w:val="40"/>
                <w:sz w:val="18"/>
                <w:szCs w:val="18"/>
              </w:rPr>
              <w:t xml:space="preserve">OPEN ITEMS</w:t>
            </w:r>
          </w:p>
        </w:tc>
        <w:tc>
          <w:tcPr>
            <w:tcW w:type="dxa" w:w="786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pPr>
              <w:jc w:val="left"/>
            </w:pPr>
            <w:r>
              <w:rPr>
                <w:rFonts w:ascii="Poppins" w:cs="Poppins" w:eastAsia="Poppins" w:hAnsi="Poppins"/>
                <w:b/>
                <w:bCs/>
                <w:color w:val="FFFFFF"/>
                <w:spacing w:val="40"/>
                <w:sz w:val="18"/>
                <w:szCs w:val="18"/>
              </w:rPr>
              <w:t xml:space="preserve">WHAT THAT USUALLY MEANS</w:t>
            </w:r>
          </w:p>
        </w:tc>
      </w:tr>
      <w:tr>
        <w:trPr>
          <w:cantSplit/>
        </w:trPr>
        <w:tc>
          <w:tcPr>
            <w:tcW w:type="dxa" w:w="1500"/>
            <w:tcBorders>
              <w:top w:val="single" w:color="E9EBF0" w:sz="2"/>
              <w:left w:val="single" w:color="E9EBF0" w:sz="2"/>
              <w:bottom w:val="single" w:color="E9EBF0" w:sz="2"/>
              <w:right w:val="single" w:color="E9EBF0" w:sz="2"/>
            </w:tcBorders>
            <w:shd w:fill="E9EBF0" w:color="auto" w:val="clear"/>
            <w:tcMar>
              <w:top w:type="dxa" w:w="140"/>
              <w:left w:type="dxa" w:w="130"/>
              <w:bottom w:type="dxa" w:w="140"/>
              <w:right w:type="dxa" w:w="130"/>
            </w:tcMar>
            <w:vAlign w:val="center"/>
          </w:tcPr>
          <w:p>
            <w:pPr>
              <w:jc w:val="center"/>
            </w:pPr>
            <w:r>
              <w:rPr>
                <w:rFonts w:ascii="Poppins" w:cs="Poppins" w:eastAsia="Poppins" w:hAnsi="Poppins"/>
                <w:b/>
                <w:bCs/>
                <w:color w:val="2552DE"/>
                <w:sz w:val="22"/>
                <w:szCs w:val="22"/>
              </w:rPr>
              <w:t xml:space="preserve">0–3</w:t>
            </w:r>
          </w:p>
        </w:tc>
        <w:tc>
          <w:tcPr>
            <w:tcW w:type="dxa" w:w="7860"/>
            <w:tcBorders>
              <w:top w:val="single" w:color="E9EBF0" w:sz="2"/>
              <w:left w:val="single" w:color="E9EBF0" w:sz="2"/>
              <w:bottom w:val="single" w:color="E9EBF0" w:sz="2"/>
              <w:right w:val="single" w:color="E9EBF0" w:sz="2"/>
            </w:tcBorders>
            <w:tcMar>
              <w:top w:type="dxa" w:w="140"/>
              <w:left w:type="dxa" w:w="160"/>
              <w:bottom w:type="dxa" w:w="140"/>
              <w:right w:type="dxa" w:w="150"/>
            </w:tcMar>
          </w:tcPr>
          <w:p>
            <w:pPr>
              <w:spacing w:after="50"/>
            </w:pPr>
            <w:r>
              <w:rPr>
                <w:rFonts w:ascii="Poppins" w:cs="Poppins" w:eastAsia="Poppins" w:hAnsi="Poppins"/>
                <w:b/>
                <w:bCs/>
                <w:color w:val="14161A"/>
                <w:sz w:val="20"/>
                <w:szCs w:val="20"/>
              </w:rPr>
              <w:t xml:space="preserve">Few open items</w:t>
            </w:r>
          </w:p>
          <w:p>
            <w:pPr>
              <w:spacing w:line="276"/>
            </w:pPr>
            <w:r>
              <w:rPr>
                <w:rFonts w:ascii="Inter" w:cs="Inter" w:eastAsia="Inter" w:hAnsi="Inter"/>
                <w:color w:val="4A4F58"/>
                <w:sz w:val="20"/>
                <w:szCs w:val="20"/>
              </w:rPr>
              <w:t xml:space="preserve">Unusual at present. Keeping the inventory current is the main ongoing task.</w:t>
            </w:r>
          </w:p>
        </w:tc>
      </w:tr>
      <w:tr>
        <w:trPr>
          <w:cantSplit/>
        </w:trPr>
        <w:tc>
          <w:tcPr>
            <w:tcW w:type="dxa" w:w="1500"/>
            <w:tcBorders>
              <w:top w:val="single" w:color="E9EBF0" w:sz="2"/>
              <w:left w:val="single" w:color="E9EBF0" w:sz="2"/>
              <w:bottom w:val="single" w:color="E9EBF0" w:sz="2"/>
              <w:right w:val="single" w:color="E9EBF0" w:sz="2"/>
            </w:tcBorders>
            <w:shd w:fill="E9EBF0" w:color="auto" w:val="clear"/>
            <w:tcMar>
              <w:top w:type="dxa" w:w="140"/>
              <w:left w:type="dxa" w:w="130"/>
              <w:bottom w:type="dxa" w:w="140"/>
              <w:right w:type="dxa" w:w="130"/>
            </w:tcMar>
            <w:vAlign w:val="center"/>
          </w:tcPr>
          <w:p>
            <w:pPr>
              <w:jc w:val="center"/>
            </w:pPr>
            <w:r>
              <w:rPr>
                <w:rFonts w:ascii="Poppins" w:cs="Poppins" w:eastAsia="Poppins" w:hAnsi="Poppins"/>
                <w:b/>
                <w:bCs/>
                <w:color w:val="2552DE"/>
                <w:sz w:val="22"/>
                <w:szCs w:val="22"/>
              </w:rPr>
              <w:t xml:space="preserve">4–9</w:t>
            </w:r>
          </w:p>
        </w:tc>
        <w:tc>
          <w:tcPr>
            <w:tcW w:type="dxa" w:w="7860"/>
            <w:tcBorders>
              <w:top w:val="single" w:color="E9EBF0" w:sz="2"/>
              <w:left w:val="single" w:color="E9EBF0" w:sz="2"/>
              <w:bottom w:val="single" w:color="E9EBF0" w:sz="2"/>
              <w:right w:val="single" w:color="E9EBF0" w:sz="2"/>
            </w:tcBorders>
            <w:tcMar>
              <w:top w:type="dxa" w:w="140"/>
              <w:left w:type="dxa" w:w="160"/>
              <w:bottom w:type="dxa" w:w="140"/>
              <w:right w:type="dxa" w:w="150"/>
            </w:tcMar>
          </w:tcPr>
          <w:p>
            <w:pPr>
              <w:spacing w:after="50"/>
            </w:pPr>
            <w:r>
              <w:rPr>
                <w:rFonts w:ascii="Poppins" w:cs="Poppins" w:eastAsia="Poppins" w:hAnsi="Poppins"/>
                <w:b/>
                <w:bCs/>
                <w:color w:val="14161A"/>
                <w:sz w:val="20"/>
                <w:szCs w:val="20"/>
              </w:rPr>
              <w:t xml:space="preserve">A common range</w:t>
            </w:r>
          </w:p>
          <w:p>
            <w:pPr>
              <w:spacing w:line="276"/>
            </w:pPr>
            <w:r>
              <w:rPr>
                <w:rFonts w:ascii="Inter" w:cs="Inter" w:eastAsia="Inter" w:hAnsi="Inter"/>
                <w:color w:val="4A4F58"/>
                <w:sz w:val="20"/>
                <w:szCs w:val="20"/>
              </w:rPr>
              <w:t xml:space="preserve">Where most organizations sit. These are usually questions of policy and habit rather than technology, and they close quickly once someone owns them.</w:t>
            </w:r>
          </w:p>
        </w:tc>
      </w:tr>
      <w:tr>
        <w:trPr>
          <w:cantSplit/>
        </w:trPr>
        <w:tc>
          <w:tcPr>
            <w:tcW w:type="dxa" w:w="1500"/>
            <w:tcBorders>
              <w:top w:val="single" w:color="E9EBF0" w:sz="2"/>
              <w:left w:val="single" w:color="E9EBF0" w:sz="2"/>
              <w:bottom w:val="single" w:color="E9EBF0" w:sz="2"/>
              <w:right w:val="single" w:color="E9EBF0" w:sz="2"/>
            </w:tcBorders>
            <w:shd w:fill="E9EBF0" w:color="auto" w:val="clear"/>
            <w:tcMar>
              <w:top w:type="dxa" w:w="140"/>
              <w:left w:type="dxa" w:w="130"/>
              <w:bottom w:type="dxa" w:w="140"/>
              <w:right w:type="dxa" w:w="130"/>
            </w:tcMar>
            <w:vAlign w:val="center"/>
          </w:tcPr>
          <w:p>
            <w:pPr>
              <w:jc w:val="center"/>
            </w:pPr>
            <w:r>
              <w:rPr>
                <w:rFonts w:ascii="Poppins" w:cs="Poppins" w:eastAsia="Poppins" w:hAnsi="Poppins"/>
                <w:b/>
                <w:bCs/>
                <w:color w:val="2552DE"/>
                <w:sz w:val="22"/>
                <w:szCs w:val="22"/>
              </w:rPr>
              <w:t xml:space="preserve">10–16</w:t>
            </w:r>
          </w:p>
        </w:tc>
        <w:tc>
          <w:tcPr>
            <w:tcW w:type="dxa" w:w="7860"/>
            <w:tcBorders>
              <w:top w:val="single" w:color="E9EBF0" w:sz="2"/>
              <w:left w:val="single" w:color="E9EBF0" w:sz="2"/>
              <w:bottom w:val="single" w:color="E9EBF0" w:sz="2"/>
              <w:right w:val="single" w:color="E9EBF0" w:sz="2"/>
            </w:tcBorders>
            <w:tcMar>
              <w:top w:type="dxa" w:w="140"/>
              <w:left w:type="dxa" w:w="160"/>
              <w:bottom w:type="dxa" w:w="140"/>
              <w:right w:type="dxa" w:w="150"/>
            </w:tcMar>
          </w:tcPr>
          <w:p>
            <w:pPr>
              <w:spacing w:after="50"/>
            </w:pPr>
            <w:r>
              <w:rPr>
                <w:rFonts w:ascii="Poppins" w:cs="Poppins" w:eastAsia="Poppins" w:hAnsi="Poppins"/>
                <w:b/>
                <w:bCs/>
                <w:color w:val="14161A"/>
                <w:sz w:val="20"/>
                <w:szCs w:val="20"/>
              </w:rPr>
              <w:t xml:space="preserve">A wide spread</w:t>
            </w:r>
          </w:p>
          <w:p>
            <w:pPr>
              <w:spacing w:line="276"/>
            </w:pPr>
            <w:r>
              <w:rPr>
                <w:rFonts w:ascii="Inter" w:cs="Inter" w:eastAsia="Inter" w:hAnsi="Inter"/>
                <w:color w:val="4A4F58"/>
                <w:sz w:val="20"/>
                <w:szCs w:val="20"/>
              </w:rPr>
              <w:t xml:space="preserve">Adoption is running ahead of the arrangements around it. Section 01 is the usual starting point, since the rest depends on knowing what is in use.</w:t>
            </w:r>
          </w:p>
        </w:tc>
      </w:tr>
      <w:tr>
        <w:trPr>
          <w:cantSplit/>
        </w:trPr>
        <w:tc>
          <w:tcPr>
            <w:tcW w:type="dxa" w:w="1500"/>
            <w:tcBorders>
              <w:top w:val="single" w:color="E9EBF0" w:sz="2"/>
              <w:left w:val="single" w:color="E9EBF0" w:sz="2"/>
              <w:bottom w:val="single" w:color="E9EBF0" w:sz="2"/>
              <w:right w:val="single" w:color="E9EBF0" w:sz="2"/>
            </w:tcBorders>
            <w:shd w:fill="E9EBF0" w:color="auto" w:val="clear"/>
            <w:tcMar>
              <w:top w:type="dxa" w:w="140"/>
              <w:left w:type="dxa" w:w="130"/>
              <w:bottom w:type="dxa" w:w="140"/>
              <w:right w:type="dxa" w:w="130"/>
            </w:tcMar>
            <w:vAlign w:val="center"/>
          </w:tcPr>
          <w:p>
            <w:pPr>
              <w:jc w:val="center"/>
            </w:pPr>
            <w:r>
              <w:rPr>
                <w:rFonts w:ascii="Poppins" w:cs="Poppins" w:eastAsia="Poppins" w:hAnsi="Poppins"/>
                <w:b/>
                <w:bCs/>
                <w:color w:val="2552DE"/>
                <w:sz w:val="22"/>
                <w:szCs w:val="22"/>
              </w:rPr>
              <w:t xml:space="preserve">17+</w:t>
            </w:r>
          </w:p>
        </w:tc>
        <w:tc>
          <w:tcPr>
            <w:tcW w:type="dxa" w:w="7860"/>
            <w:tcBorders>
              <w:top w:val="single" w:color="E9EBF0" w:sz="2"/>
              <w:left w:val="single" w:color="E9EBF0" w:sz="2"/>
              <w:bottom w:val="single" w:color="E9EBF0" w:sz="2"/>
              <w:right w:val="single" w:color="E9EBF0" w:sz="2"/>
            </w:tcBorders>
            <w:tcMar>
              <w:top w:type="dxa" w:w="140"/>
              <w:left w:type="dxa" w:w="160"/>
              <w:bottom w:type="dxa" w:w="140"/>
              <w:right w:type="dxa" w:w="150"/>
            </w:tcMar>
          </w:tcPr>
          <w:p>
            <w:pPr>
              <w:spacing w:after="50"/>
            </w:pPr>
            <w:r>
              <w:rPr>
                <w:rFonts w:ascii="Poppins" w:cs="Poppins" w:eastAsia="Poppins" w:hAnsi="Poppins"/>
                <w:b/>
                <w:bCs/>
                <w:color w:val="14161A"/>
                <w:sz w:val="20"/>
                <w:szCs w:val="20"/>
              </w:rPr>
              <w:t xml:space="preserve">Most items open</w:t>
            </w:r>
          </w:p>
          <w:p>
            <w:pPr>
              <w:spacing w:line="276"/>
            </w:pPr>
            <w:r>
              <w:rPr>
                <w:rFonts w:ascii="Inter" w:cs="Inter" w:eastAsia="Inter" w:hAnsi="Inter"/>
                <w:color w:val="4A4F58"/>
                <w:sz w:val="20"/>
                <w:szCs w:val="20"/>
              </w:rPr>
              <w:t xml:space="preserve">The organization cannot yet describe its own use of AI. This is common, and building the inventory is normally the first useful step.</w:t>
            </w:r>
          </w:p>
        </w:tc>
      </w:tr>
    </w:tbl>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One question underneath all twenty-four</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If one of these tools began producing worse results next month, how long would it take to notice, and who would raise it?</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Where the honest answer is that it would surface through a complaint, detection is the area with the most to gain.</w:t>
      </w:r>
    </w:p>
    <w:p>
      <w:pPr>
        <w:keepLines/>
        <w:pBdr>
          <w:left w:val="single" w:color="1B9E8E" w:sz="18" w:space="10"/>
        </w:pBdr>
        <w:shd w:fill="E9EBF0" w:color="auto" w:val="clear"/>
        <w:spacing w:after="0" w:before="0" w:line="200"/>
        <w:ind w:left="220" w:right="200"/>
      </w:pPr>
      <w:r>
        <w:rPr>
          <w:sz w:val="8"/>
          <w:szCs w:val="8"/>
        </w:rPr>
        <w:t xml:space="preserve"/>
      </w:r>
    </w:p>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on this list, or to help build a first inventory.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ropzz60y1yd9aqwqahpsa">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ks2k2pw6ylub_bbafcwyh">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AI Governance Checklist</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opzz60y1yd9aqwqahpsa" Type="http://schemas.openxmlformats.org/officeDocument/2006/relationships/hyperlink" Target="https://jlynne.co" TargetMode="External"/><Relationship Id="rIdks2k2pw6ylub_bbafcwyh"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Checklist</dc:title>
  <dc:creator>J. Lynne &amp; Co.</dc:creator>
  <dc:description>Twenty-four questions covering where AI is in use, who approves it, what data it receives, and how problems are noticed.</dc:description>
  <cp:lastModifiedBy>Un-named</cp:lastModifiedBy>
  <cp:revision>1</cp:revision>
  <dcterms:created xsi:type="dcterms:W3CDTF">2026-07-31T14:47:08.212Z</dcterms:created>
  <dcterms:modified xsi:type="dcterms:W3CDTF">2026-07-31T14:47:08.212Z</dcterms:modified>
</cp:coreProperties>
</file>

<file path=docProps/custom.xml><?xml version="1.0" encoding="utf-8"?>
<Properties xmlns="http://schemas.openxmlformats.org/officeDocument/2006/custom-properties" xmlns:vt="http://schemas.openxmlformats.org/officeDocument/2006/docPropsVTypes"/>
</file>