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60" w:before="1000"/>
      </w:pPr>
      <w:r>
        <w:drawing>
          <wp:inline distT="0" distB="0" distL="0" distR="0">
            <wp:extent cx="990600" cy="9906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CREDIT UNION EDITION</w:t>
      </w:r>
    </w:p>
    <w:p>
      <w:pPr>
        <w:pStyle w:val="Title"/>
        <w:spacing w:after="190"/>
      </w:pPr>
      <w:r>
        <w:rPr>
          <w:rFonts w:ascii="Poppins" w:cs="Poppins" w:eastAsia="Poppins" w:hAnsi="Poppins"/>
          <w:b/>
          <w:bCs/>
          <w:color w:val="14161A"/>
          <w:sz w:val="58"/>
          <w:szCs w:val="58"/>
        </w:rPr>
        <w:t xml:space="preserve">Board</w:t>
      </w:r>
    </w:p>
    <w:p>
      <w:pPr>
        <w:spacing w:after="190"/>
      </w:pPr>
      <w:r>
        <w:rPr>
          <w:rFonts w:ascii="Poppins" w:cs="Poppins" w:eastAsia="Poppins" w:hAnsi="Poppins"/>
          <w:b/>
          <w:bCs/>
          <w:color w:val="2552DE"/>
          <w:sz w:val="58"/>
          <w:szCs w:val="58"/>
        </w:rPr>
        <w:t xml:space="preserve">Checklist</w:t>
      </w:r>
    </w:p>
    <w:p>
      <w:pPr>
        <w:pBdr>
          <w:bottom w:val="single" w:color="C9A227" w:sz="12"/>
        </w:pBdr>
        <w:spacing w:after="300" w:before="90"/>
      </w:pPr>
      <w:r>
        <w:rPr>
          <w:sz w:val="2"/>
          <w:szCs w:val="2"/>
        </w:rPr>
        <w:t xml:space="preserve"/>
      </w:r>
    </w:p>
    <w:p>
      <w:pPr>
        <w:spacing w:after="200" w:line="340"/>
      </w:pPr>
      <w:r>
        <w:rPr>
          <w:rFonts w:ascii="Inter" w:cs="Inter" w:eastAsia="Inter" w:hAnsi="Inter"/>
          <w:color w:val="4A4F58"/>
          <w:sz w:val="26"/>
          <w:szCs w:val="26"/>
        </w:rPr>
        <w:t xml:space="preserve">Twenty-four questions a board and supervisory committee can use to review its own practice on a major technology program.</w:t>
      </w:r>
    </w:p>
    <w:p>
      <w:pPr>
        <w:spacing w:after="60" w:before="1900"/>
      </w:pPr>
      <w:r>
        <w:rPr>
          <w:rFonts w:ascii="Poppins" w:cs="Poppins" w:eastAsia="Poppins" w:hAnsi="Poppins"/>
          <w:b/>
          <w:bCs/>
          <w:color w:val="14161A"/>
          <w:sz w:val="22"/>
          <w:szCs w:val="22"/>
        </w:rPr>
        <w:t xml:space="preserve">J. Lynne &amp; Co.</w:t>
      </w:r>
    </w:p>
    <w:p>
      <w:r>
        <w:rPr>
          <w:rFonts w:ascii="Inter" w:cs="Inter" w:eastAsia="Inter" w:hAnsi="Inter"/>
          <w:i/>
          <w:iCs/>
          <w:color w:val="4A4F58"/>
          <w:sz w:val="20"/>
          <w:szCs w:val="20"/>
        </w:rPr>
        <w:t xml:space="preserve">The patience to see it. The drive to move it.</w:t>
      </w:r>
    </w:p>
    <w:p>
      <w:r>
        <w:br w:type="pag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HOW TO USE THIS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A board does not run a technology program. It decides whether the program should continue, and answers for the outcome either way. Those are different jobs and they need different information.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This checklist is about the board’s own practice rather than the project: what it receives, what it asks, what it settled in advance, and what its record holds.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Mark each statement Yes, No, or Not sure, answering for the board as a body. Many boards find it useful to have the board chair, the supervisory committee chair, and the chief executive complete it separately and compare.</w:t>
      </w:r>
    </w:p>
    <w:p>
      <w:pPr>
        <w:spacing w:after="140" w:before="220"/>
      </w:pP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C9A227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About the three columns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A No marks something known and not yet done. A Not sure marks something believed but not tested.</w:t>
      </w:r>
    </w:p>
    <w:p>
      <w:pPr>
        <w:keepNext/>
        <w:keepLines/>
        <w:pBdr>
          <w:left w:val="single" w:color="C9A227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They lead to different next steps. A No can be assigned to someone. A Not sure usually needs someone to go and check first.</w:t>
      </w:r>
    </w:p>
    <w:p>
      <w:pPr>
        <w:keepLines/>
        <w:pBdr>
          <w:left w:val="single" w:color="C9A227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01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INFORMATION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receive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reports show when the project team first knew about a problem, not only when we were told.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receive a written update far enough ahead of the meeting to read it properly.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Reports name specific risks and decisions, not only a color or a percentage complete.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are told what changed since the last report, and why it changed.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see spending against the amount we originally approved, not only against the latest revised figure.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At least once, we have heard about this program from someone who does not report to it.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02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ENQUIRY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ask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what would have to happen for this program to be reported as behind.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who on our own staff is able to tell the vendor that something is not acceptable.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the team what worries them most, and expect an answer rather than a reassurance.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what has been dropped from the plan in order to protect the date.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what the first week after go-live will be like for members and for front-line staff.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ask who owns the results once the vendor’s team has gone.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03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DECISIONS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we settled in advance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what this program must deliver before we approved the money.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what would cause us to pause it, and who has the authority to call that.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which decisions belong to the board and which belong to management.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how large a change has to be before it returns to us for approval.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what we would tell members, and when.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agreed how long we will keep measuring results after go-live, and who reports them.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shd w:fill="2552DE" w:color="auto" w:val="clear"/>
        <w:spacing w:after="0" w:before="0" w:line="80"/>
        <w:ind w:left="0" w:right="0"/>
      </w:pPr>
      <w:r>
        <w:rPr>
          <w:sz w:val="10"/>
          <w:szCs w:val="10"/>
        </w:rPr>
        <w:t xml:space="preserve"/>
      </w:r>
    </w:p>
    <w:p>
      <w:pPr>
        <w:keepNext/>
        <w:keepLines/>
        <w:shd w:fill="2552DE" w:color="auto" w:val="clear"/>
        <w:spacing w:after="0" w:before="0" w:line="300"/>
        <w:ind w:left="0" w:right="0"/>
        <w:jc w:val="center"/>
      </w:pP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04   </w:t>
      </w:r>
      <w:r>
        <w:rPr>
          <w:rFonts w:ascii="Poppins" w:cs="Poppins" w:eastAsia="Poppins" w:hAnsi="Poppins"/>
          <w:b/>
          <w:bCs/>
          <w:color w:val="D0DAF8"/>
          <w:spacing w:val="60"/>
          <w:sz w:val="18"/>
          <w:szCs w:val="18"/>
        </w:rPr>
        <w:t xml:space="preserve">THE RECORD</w:t>
      </w:r>
    </w:p>
    <w:p>
      <w:pPr>
        <w:pStyle w:val="Heading1"/>
        <w:keepNext/>
        <w:keepLines/>
        <w:shd w:fill="2552DE" w:color="auto" w:val="clear"/>
        <w:spacing w:after="0" w:before="0" w:line="400"/>
        <w:ind w:left="0" w:right="0"/>
        <w:jc w:val="center"/>
      </w:pPr>
      <w:r>
        <w:rPr>
          <w:rFonts w:ascii="Poppins" w:cs="Poppins" w:eastAsia="Poppins" w:hAnsi="Poppins"/>
          <w:b/>
          <w:bCs/>
          <w:color w:val="FFFFFF"/>
          <w:sz w:val="28"/>
          <w:szCs w:val="28"/>
        </w:rPr>
        <w:t xml:space="preserve">What our minutes hold</w:t>
      </w:r>
    </w:p>
    <w:p>
      <w:pPr>
        <w:keepNext/>
        <w:keepLines/>
        <w:shd w:fill="2552DE" w:color="auto" w:val="clear"/>
        <w:spacing w:after="0" w:before="0" w:line="175"/>
        <w:ind w:left="0" w:right="0"/>
      </w:pPr>
      <w:r>
        <w:rPr>
          <w:sz w:val="10"/>
          <w:szCs w:val="10"/>
        </w:rPr>
        <w:t xml:space="preserve"/>
      </w:r>
    </w:p>
    <w:p>
      <w:pPr>
        <w:spacing w:after="14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1360"/>
        <w:gridCol w:w="1360"/>
        <w:gridCol w:w="1360"/>
      </w:tblGrid>
      <w:tr>
        <w:trPr>
          <w:tblHeader/>
        </w:trPr>
        <w:tc>
          <w:tcPr>
            <w:tcW w:type="dxa" w:w="528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STATEMENT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NOT SURE</w:t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minutes record the decision, the options considered, and the risk we accepted.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minutes record the questions the board asked and the answers it received.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show why this vendor was chosen and who else was considered.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We can show who approved each change to scope, budget, or date.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Our vendor review file is kept current rather than completed once at signing.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8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14161A"/>
                <w:sz w:val="20"/>
                <w:szCs w:val="20"/>
              </w:rPr>
              <w:t xml:space="preserve">Someone could follow our reasoning a year from now without asking us — an examiner, an auditor, or a future board.</w:t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9EBF0" w:color="auto" w:val="clear"/>
            <w:tcMar>
              <w:top w:type="dxa" w:w="130"/>
              <w:left w:type="dxa" w:w="100"/>
              <w:bottom w:type="dxa" w:w="13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READING YOUR ANSWERS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Count the No and Not sure answers together, out of 24.</w:t>
      </w:r>
    </w:p>
    <w:p>
      <w:pPr>
        <w:spacing w:after="14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OPEN ITEMS</w:t>
            </w:r>
          </w:p>
        </w:tc>
        <w:tc>
          <w:tcPr>
            <w:tcW w:type="dxa" w:w="7860"/>
            <w:tcBorders>
              <w:top w:val="single" w:color="2552DE" w:sz="2"/>
              <w:left w:val="single" w:color="2552DE" w:sz="2"/>
              <w:bottom w:val="single" w:color="2552DE" w:sz="2"/>
              <w:right w:val="single" w:color="2552DE" w:sz="2"/>
            </w:tcBorders>
            <w:shd w:fill="2552D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8"/>
                <w:szCs w:val="18"/>
              </w:rPr>
              <w:t xml:space="preserve">WHAT THAT USUALLY MEANS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0–3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Few open items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of what this covers is settled. The remaining items are specific enough to assign individually.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4–8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common range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Most boards completing this land here. These are usually habits rather than gaps, and habits tend to change quickly once named.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9–14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A wide spread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Enough is open that the items interact. Sections 01 and 02 are where most boards start, since the rest depends on what information arrives.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shd w:fill="E9EBF0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2552DE"/>
                <w:sz w:val="22"/>
                <w:szCs w:val="22"/>
              </w:rPr>
              <w:t xml:space="preserve">15+</w:t>
            </w:r>
          </w:p>
        </w:tc>
        <w:tc>
          <w:tcPr>
            <w:tcW w:type="dxa" w:w="7860"/>
            <w:tcBorders>
              <w:top w:val="single" w:color="E9EBF0" w:sz="2"/>
              <w:left w:val="single" w:color="E9EBF0" w:sz="2"/>
              <w:bottom w:val="single" w:color="E9EBF0" w:sz="2"/>
              <w:right w:val="single" w:color="E9EBF0" w:sz="2"/>
            </w:tcBorders>
            <w:tcMar>
              <w:top w:type="dxa" w:w="140"/>
              <w:left w:type="dxa" w:w="160"/>
              <w:bottom w:type="dxa" w:w="140"/>
              <w:right w:type="dxa" w:w="150"/>
            </w:tcMar>
          </w:tcPr>
          <w:p>
            <w:pPr>
              <w:spacing w:after="50"/>
            </w:pPr>
            <w:r>
              <w:rPr>
                <w:rFonts w:ascii="Poppins" w:cs="Poppins" w:eastAsia="Poppins" w:hAnsi="Poppins"/>
                <w:b/>
                <w:bCs/>
                <w:color w:val="14161A"/>
                <w:sz w:val="20"/>
                <w:szCs w:val="20"/>
              </w:rPr>
              <w:t xml:space="preserve">Most items open</w:t>
            </w:r>
          </w:p>
          <w:p>
            <w:pPr>
              <w:spacing w:line="276"/>
            </w:pPr>
            <w:r>
              <w:rPr>
                <w:rFonts w:ascii="Inter" w:cs="Inter" w:eastAsia="Inter" w:hAnsi="Inter"/>
                <w:color w:val="4A4F58"/>
                <w:sz w:val="20"/>
                <w:szCs w:val="20"/>
              </w:rPr>
              <w:t xml:space="preserve">The majority has not been settled. This is common where a program was underway before the board’s role was defined, and the list works as a starting agenda.</w:t>
            </w:r>
          </w:p>
        </w:tc>
      </w:tr>
    </w:tbl>
    <w:p>
      <w:pPr>
        <w:spacing w:after="140" w:before="300"/>
      </w:pP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1B9E8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Where the answers cluster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Section 01 concerns what the board can see. Section 02 concerns what it asks. Section 03 concerns what was settled while there was time. Section 04 concerns what remains afterward.</w:t>
      </w:r>
    </w:p>
    <w:p>
      <w:pPr>
        <w:keepNext/>
        <w:keepLines/>
        <w:pBdr>
          <w:left w:val="single" w:color="1B9E8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Each has a different remedy, and section 03 is usually the least expensive place to begin.</w:t>
      </w:r>
    </w:p>
    <w:p>
      <w:pPr>
        <w:keepLines/>
        <w:pBdr>
          <w:left w:val="single" w:color="1B9E8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2"/>
        <w:keepNext/>
        <w:pageBreakBefore/>
        <w:spacing w:after="130"/>
      </w:pPr>
      <w:r>
        <w:rPr>
          <w:rFonts w:ascii="Poppins" w:cs="Poppins" w:eastAsia="Poppins" w:hAnsi="Poppins"/>
          <w:b/>
          <w:bCs/>
          <w:color w:val="7F6619"/>
          <w:spacing w:val="60"/>
          <w:sz w:val="18"/>
          <w:szCs w:val="18"/>
        </w:rPr>
        <w:t xml:space="preserve">ABOUT J. LYNNE &amp; CO.</w:t>
      </w:r>
    </w:p>
    <w:p>
      <w:pPr>
        <w:spacing w:after="300"/>
      </w:pPr>
      <w:r>
        <w:drawing>
          <wp:inline distT="0" distB="0" distL="0" distR="0">
            <wp:extent cx="723900" cy="723900"/>
            <wp:effectExtent t="0" r="0" b="0" l="0"/>
            <wp:docPr id="1" name="J. Lynne &amp; Co. logo" descr="The J. Lynne &amp; Co. mark: a stylised bull rendered in blue." title="J. Lynne &amp; Co.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J. Lynne &amp; Co. is an independent governance advisory firm working with organizations to lead major transformations with confidence. We take no vendor commissions and hold no reseller agreements.</w:t>
      </w:r>
    </w:p>
    <w:p>
      <w:pPr>
        <w:spacing w:after="150" w:line="288"/>
      </w:pPr>
      <w:r>
        <w:rPr>
          <w:rFonts w:ascii="Inter" w:cs="Inter" w:eastAsia="Inter" w:hAnsi="Inter"/>
          <w:color w:val="14161A"/>
          <w:sz w:val="22"/>
          <w:szCs w:val="22"/>
        </w:rPr>
        <w:t xml:space="preserve">We publish reference material of this kind for executives, boards, and program sponsors. If it is useful, you are welcome to adapt it for your own organization.</w:t>
      </w:r>
    </w:p>
    <w:p>
      <w:pPr>
        <w:spacing w:after="140" w:before="240"/>
      </w:pP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pStyle w:val="Heading3"/>
        <w:keepNext/>
        <w:pBdr>
          <w:left w:val="single" w:color="2552DE" w:sz="18" w:space="10"/>
        </w:pBdr>
        <w:shd w:fill="E9EBF0" w:color="auto" w:val="clear"/>
        <w:spacing w:after="90" w:before="0" w:line="288"/>
        <w:ind w:left="220" w:right="200"/>
      </w:pPr>
      <w:r>
        <w:rPr>
          <w:rFonts w:ascii="Poppins" w:cs="Poppins" w:eastAsia="Poppins" w:hAnsi="Poppins"/>
          <w:b/>
          <w:bCs/>
          <w:color w:val="2552DE"/>
          <w:sz w:val="21"/>
          <w:szCs w:val="21"/>
        </w:rPr>
        <w:t xml:space="preserve">If you would like to talk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 are happy to answer questions about anything on this list, or to look at a program you have underway.</w:t>
      </w:r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10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Website:  </w:t>
      </w:r>
      <w:hyperlink w:history="1" r:id="rIdnhklrq6munwd4xc0ma1bw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</w:t>
        </w:r>
      </w:hyperlink>
    </w:p>
    <w:p>
      <w:pPr>
        <w:keepNext/>
        <w:keepLines/>
        <w:pBdr>
          <w:left w:val="single" w:color="2552DE" w:sz="18" w:space="10"/>
        </w:pBdr>
        <w:shd w:fill="E9EBF0" w:color="auto" w:val="clear"/>
        <w:spacing w:after="0" w:before="0" w:line="288"/>
        <w:ind w:left="220" w:right="200"/>
      </w:pPr>
      <w:r>
        <w:rPr>
          <w:rFonts w:ascii="Inter" w:cs="Inter" w:eastAsia="Inter" w:hAnsi="Inter"/>
          <w:color w:val="14161A"/>
          <w:sz w:val="20"/>
          <w:szCs w:val="20"/>
        </w:rPr>
        <w:t xml:space="preserve">Book a conversation:  </w:t>
      </w:r>
      <w:hyperlink w:history="1" r:id="rIdfmsgzjfytjuudcnuccnpx">
        <w:r>
          <w:rPr>
            <w:rFonts w:ascii="Inter" w:cs="Inter" w:eastAsia="Inter" w:hAnsi="Inter"/>
            <w:color w:val="2552DE"/>
            <w:sz w:val="20"/>
            <w:szCs w:val="20"/>
            <w:u w:val="single" w:color="2552DE"/>
          </w:rPr>
          <w:t xml:space="preserve">jlynne.co/contact</w:t>
        </w:r>
      </w:hyperlink>
    </w:p>
    <w:p>
      <w:pPr>
        <w:keepLines/>
        <w:pBdr>
          <w:left w:val="single" w:color="2552DE" w:sz="18" w:space="10"/>
        </w:pBdr>
        <w:shd w:fill="E9EBF0" w:color="auto" w:val="clear"/>
        <w:spacing w:after="0" w:before="0" w:line="200"/>
        <w:ind w:left="220" w:right="200"/>
      </w:pPr>
      <w:r>
        <w:rPr>
          <w:sz w:val="8"/>
          <w:szCs w:val="8"/>
        </w:rPr>
        <w:t xml:space="preserve"/>
      </w:r>
    </w:p>
    <w:p>
      <w:pPr>
        <w:spacing w:before="700"/>
      </w:pPr>
    </w:p>
    <w:p>
      <w:pPr>
        <w:pBdr>
          <w:bottom w:val="single" w:color="E9EBF0" w:sz="6"/>
        </w:pBdr>
        <w:spacing w:after="160" w:before="0"/>
      </w:pPr>
      <w:r>
        <w:rPr>
          <w:sz w:val="2"/>
          <w:szCs w:val="2"/>
        </w:rPr>
        <w:t xml:space="preserve"/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This document is general reference material. It is not legal, accounting, or regulatory advice, and it is not a substitute for professional counsel on your organization’s circumstances.</w:t>
      </w:r>
    </w:p>
    <w:p>
      <w:pPr>
        <w:spacing w:after="90" w:line="264"/>
      </w:pPr>
      <w:r>
        <w:rPr>
          <w:rFonts w:ascii="Inter" w:cs="Inter" w:eastAsia="Inter" w:hAnsi="Inter"/>
          <w:color w:val="4A4F58"/>
          <w:sz w:val="18"/>
          <w:szCs w:val="18"/>
        </w:rPr>
        <w:t xml:space="preserve">© 2026 J. Lynne &amp; Co. All rights reserved.</w:t>
      </w:r>
    </w:p>
    <w:sectPr>
      <w:footerReference w:type="default" r:id="rId7"/>
      <w:pgSz w:w="12240" w:h="15840" w:orient="portrait"/>
      <w:pgMar w:top="144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9EBF0" w:sz="6"/>
      </w:pBdr>
      <w:spacing w:after="80" w:before="0"/>
    </w:pPr>
    <w:r>
      <w:rPr>
        <w:sz w:val="2"/>
        <w:szCs w:val="2"/>
      </w:rPr>
      <w:t xml:space="preserve"/>
    </w:r>
  </w:p>
  <w:p>
    <w:pPr>
      <w:tabs>
        <w:tab w:val="right" w:pos="9360"/>
      </w:tabs>
    </w:pPr>
    <w:r>
      <w:rPr>
        <w:rFonts w:ascii="Inter" w:cs="Inter" w:eastAsia="Inter" w:hAnsi="Inter"/>
        <w:color w:val="4A4F58"/>
        <w:sz w:val="18"/>
        <w:szCs w:val="18"/>
      </w:rPr>
      <w:t xml:space="preserve">Board Checklist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4A4F58"/>
        <w:sz w:val="18"/>
        <w:szCs w:val="18"/>
      </w:rPr>
      <w:t xml:space="preserve">J. Lynne &amp; Co.</w:t>
    </w:r>
    <w:r>
      <w:rPr>
        <w:rFonts w:ascii="Inter" w:cs="Inter" w:eastAsia="Inter" w:hAnsi="Inter"/>
        <w:color w:val="7F6619"/>
        <w:sz w:val="18"/>
        <w:szCs w:val="18"/>
      </w:rPr>
      <w:t xml:space="preserve"> · </w:t>
    </w:r>
    <w:r>
      <w:rPr>
        <w:rFonts w:ascii="Inter" w:cs="Inter" w:eastAsia="Inter" w:hAnsi="Inter"/>
        <w:b/>
        <w:bCs/>
        <w:color w:val="4A4F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61A"/>
        <w:sz w:val="22"/>
        <w:szCs w:val="22"/>
        <w:lang w:val="en-US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Poppins" w:cs="Poppins" w:eastAsia="Poppins" w:hAnsi="Poppins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Poppins" w:cs="Poppins" w:eastAsia="Poppins" w:hAnsi="Poppins"/>
      <w:b/>
      <w:bCs/>
      <w:color w:val="2552DE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Poppins" w:cs="Poppins" w:eastAsia="Poppins" w:hAnsi="Poppins"/>
      <w:b/>
      <w:bCs/>
      <w:color w:val="14161A"/>
      <w:sz w:val="21"/>
      <w:szCs w:val="21"/>
    </w:rPr>
  </w:style>
  <w:style w:type="paragraph" w:styleId="Title">
    <w:name w:val="Title"/>
    <w:basedOn w:val="Normal"/>
    <w:next w:val="Normal"/>
    <w:qFormat/>
    <w:rPr>
      <w:rFonts w:ascii="Poppins" w:cs="Poppins" w:eastAsia="Poppins" w:hAnsi="Poppins"/>
      <w:b/>
      <w:bCs/>
      <w:color w:val="14161A"/>
      <w:sz w:val="58"/>
      <w:szCs w:val="5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hklrq6munwd4xc0ma1bw" Type="http://schemas.openxmlformats.org/officeDocument/2006/relationships/hyperlink" Target="https://jlynne.co" TargetMode="External"/><Relationship Id="rIdfmsgzjfytjuudcnuccnpx" Type="http://schemas.openxmlformats.org/officeDocument/2006/relationships/hyperlink" Target="https://jlynne.co/contact" TargetMode="External"/><Relationship Id="rId8" Type="http://schemas.openxmlformats.org/officeDocument/2006/relationships/image" Target="media/fc988f3b224f6f78f894961ef07cbfa2797890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Checklist — Credit union edition</dc:title>
  <dc:creator>J. Lynne &amp; Co.</dc:creator>
  <dc:description>Twenty-four questions a board and supervisory committee can use to review its own practice on a major technology program.</dc:description>
  <cp:lastModifiedBy>Un-named</cp:lastModifiedBy>
  <cp:revision>1</cp:revision>
  <dcterms:created xsi:type="dcterms:W3CDTF">2026-07-31T14:47:08.292Z</dcterms:created>
  <dcterms:modified xsi:type="dcterms:W3CDTF">2026-07-31T14:47:08.292Z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