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60" w:before="1000"/>
      </w:pPr>
      <w:r>
        <w:drawing>
          <wp:inline distT="0" distB="0" distL="0" distR="0">
            <wp:extent cx="990600" cy="990600"/>
            <wp:effectExtent t="0" r="0" b="0" l="0"/>
            <wp:docPr id="1" name="J. Lynne &amp; Co. logo" descr="The J. Lynne &amp; Co. mark: a stylised bull rendered in blue." title="J. Lynne &amp; C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90600" cy="990600"/>
                    </a:xfrm>
                    <a:prstGeom prst="rect">
                      <a:avLst/>
                    </a:prstGeom>
                  </pic:spPr>
                </pic:pic>
              </a:graphicData>
            </a:graphic>
          </wp:inline>
        </w:drawing>
      </w:r>
    </w:p>
    <w:p>
      <w:pPr>
        <w:spacing w:after="200"/>
      </w:pPr>
      <w:r>
        <w:rPr>
          <w:rFonts w:ascii="Poppins" w:cs="Poppins" w:eastAsia="Poppins" w:hAnsi="Poppins"/>
          <w:b/>
          <w:bCs/>
          <w:color w:val="7F6619"/>
          <w:spacing w:val="60"/>
          <w:sz w:val="18"/>
          <w:szCs w:val="18"/>
        </w:rPr>
        <w:t xml:space="preserve">PRIVATE SECTOR EDITION</w:t>
      </w:r>
    </w:p>
    <w:p>
      <w:pPr>
        <w:pStyle w:val="Title"/>
        <w:spacing w:after="190"/>
      </w:pPr>
      <w:r>
        <w:rPr>
          <w:rFonts w:ascii="Poppins" w:cs="Poppins" w:eastAsia="Poppins" w:hAnsi="Poppins"/>
          <w:b/>
          <w:bCs/>
          <w:color w:val="14161A"/>
          <w:sz w:val="58"/>
          <w:szCs w:val="58"/>
        </w:rPr>
        <w:t xml:space="preserve">Executive</w:t>
      </w:r>
    </w:p>
    <w:p>
      <w:pPr>
        <w:spacing w:after="190"/>
      </w:pPr>
      <w:r>
        <w:rPr>
          <w:rFonts w:ascii="Poppins" w:cs="Poppins" w:eastAsia="Poppins" w:hAnsi="Poppins"/>
          <w:b/>
          <w:bCs/>
          <w:color w:val="2552DE"/>
          <w:sz w:val="58"/>
          <w:szCs w:val="58"/>
        </w:rPr>
        <w:t xml:space="preserve">Governance</w:t>
      </w:r>
    </w:p>
    <w:p>
      <w:pPr>
        <w:spacing w:after="190"/>
      </w:pPr>
      <w:r>
        <w:rPr>
          <w:rFonts w:ascii="Poppins" w:cs="Poppins" w:eastAsia="Poppins" w:hAnsi="Poppins"/>
          <w:b/>
          <w:bCs/>
          <w:color w:val="14161A"/>
          <w:sz w:val="58"/>
          <w:szCs w:val="58"/>
        </w:rPr>
        <w:t xml:space="preserve">Overview</w:t>
      </w:r>
    </w:p>
    <w:p>
      <w:pPr>
        <w:pBdr>
          <w:bottom w:val="single" w:color="C9A227" w:sz="12"/>
        </w:pBdr>
        <w:spacing w:after="300" w:before="90"/>
      </w:pPr>
      <w:r>
        <w:rPr>
          <w:sz w:val="2"/>
          <w:szCs w:val="2"/>
        </w:rPr>
        <w:t xml:space="preserve"/>
      </w:r>
    </w:p>
    <w:p>
      <w:pPr>
        <w:spacing w:after="200" w:line="340"/>
      </w:pPr>
      <w:r>
        <w:rPr>
          <w:rFonts w:ascii="Inter" w:cs="Inter" w:eastAsia="Inter" w:hAnsi="Inter"/>
          <w:color w:val="4A4F58"/>
          <w:sz w:val="26"/>
          <w:szCs w:val="26"/>
        </w:rPr>
        <w:t xml:space="preserve">How governance works around a major technology program — what the board sees, where decisions are made, and what the record holds.</w:t>
      </w:r>
    </w:p>
    <w:p>
      <w:pPr>
        <w:spacing w:after="60" w:before="1900"/>
      </w:pPr>
      <w:r>
        <w:rPr>
          <w:rFonts w:ascii="Poppins" w:cs="Poppins" w:eastAsia="Poppins" w:hAnsi="Poppins"/>
          <w:b/>
          <w:bCs/>
          <w:color w:val="14161A"/>
          <w:sz w:val="22"/>
          <w:szCs w:val="22"/>
        </w:rPr>
        <w:t xml:space="preserve">J. Lynne &amp; Co.</w:t>
      </w:r>
    </w:p>
    <w:p>
      <w:r>
        <w:rPr>
          <w:rFonts w:ascii="Inter" w:cs="Inter" w:eastAsia="Inter" w:hAnsi="Inter"/>
          <w:i/>
          <w:iCs/>
          <w:color w:val="4A4F58"/>
          <w:sz w:val="20"/>
          <w:szCs w:val="20"/>
        </w:rPr>
        <w:t xml:space="preserve">The patience to see it. The drive to move it.</w:t>
      </w:r>
    </w:p>
    <w:p>
      <w:r>
        <w:br w:type="page"/>
      </w:r>
    </w:p>
    <w:p>
      <w:pPr>
        <w:pStyle w:val="Heading2"/>
        <w:keepNext/>
        <w:pageBreakBefore/>
        <w:spacing w:after="130"/>
      </w:pPr>
      <w:r>
        <w:rPr>
          <w:rFonts w:ascii="Poppins" w:cs="Poppins" w:eastAsia="Poppins" w:hAnsi="Poppins"/>
          <w:b/>
          <w:bCs/>
          <w:color w:val="7F6619"/>
          <w:spacing w:val="60"/>
          <w:sz w:val="18"/>
          <w:szCs w:val="18"/>
        </w:rPr>
        <w:t xml:space="preserve">CONTENTS</w:t>
      </w:r>
    </w:p>
    <w:p>
      <w:pPr>
        <w:keepNext/>
        <w:keepLines/>
        <w:shd w:fill="F4F6FB" w:color="auto" w:val="clear"/>
        <w:spacing w:after="0" w:before="0" w:line="200"/>
        <w:ind w:left="220" w:right="200"/>
      </w:pPr>
      <w:r>
        <w:rPr>
          <w:sz w:val="8"/>
          <w:szCs w:val="8"/>
        </w:rPr>
        <w:t xml:space="preserve"/>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What governance is — the term, what it covers, and what it is not.</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The board and audit committee — what oversight sees, and what it needs to see it.</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The management view — where decisions are made and who holds them.</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4.  </w:t>
      </w:r>
      <w:r>
        <w:rPr>
          <w:rFonts w:ascii="Inter" w:cs="Inter" w:eastAsia="Inter" w:hAnsi="Inter"/>
          <w:color w:val="14161A"/>
          <w:sz w:val="20"/>
          <w:szCs w:val="20"/>
        </w:rPr>
        <w:t xml:space="preserve">The record — what gets written down, and who reads it later.</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5.  </w:t>
      </w:r>
      <w:r>
        <w:rPr>
          <w:rFonts w:ascii="Inter" w:cs="Inter" w:eastAsia="Inter" w:hAnsi="Inter"/>
          <w:color w:val="14161A"/>
          <w:sz w:val="20"/>
          <w:szCs w:val="20"/>
        </w:rPr>
        <w:t xml:space="preserve">Where the three views differ — and why that is normal.</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6.  </w:t>
      </w:r>
      <w:r>
        <w:rPr>
          <w:rFonts w:ascii="Inter" w:cs="Inter" w:eastAsia="Inter" w:hAnsi="Inter"/>
          <w:color w:val="14161A"/>
          <w:sz w:val="20"/>
          <w:szCs w:val="20"/>
        </w:rPr>
        <w:t xml:space="preserve">Practices that connect them — five that most organizations can adopt.</w:t>
      </w:r>
    </w:p>
    <w:p>
      <w:pPr>
        <w:keepLines/>
        <w:shd w:fill="F4F6FB" w:color="auto" w:val="clear"/>
        <w:spacing w:after="0" w:before="0" w:line="200"/>
        <w:ind w:left="220" w:right="200"/>
      </w:pPr>
      <w:r>
        <w:rPr>
          <w:sz w:val="8"/>
          <w:szCs w:val="8"/>
        </w:rPr>
        <w:t xml:space="preserve"/>
      </w:r>
    </w:p>
    <w:p>
      <w:pPr>
        <w:spacing w:after="140" w:before="300"/>
      </w:pPr>
    </w:p>
    <w:p>
      <w:pPr>
        <w:keepNext/>
        <w:keepLines/>
        <w:pBdr>
          <w:left w:val="single" w:color="1B9E8E" w:sz="18" w:space="10"/>
        </w:pBdr>
        <w:shd w:fill="E9EBF0" w:color="auto" w:val="clear"/>
        <w:spacing w:after="0" w:before="0" w:line="200"/>
        <w:ind w:left="220" w:right="200"/>
      </w:pPr>
      <w:r>
        <w:rPr>
          <w:sz w:val="8"/>
          <w:szCs w:val="8"/>
        </w:rPr>
        <w:t xml:space="preserve"/>
      </w:r>
    </w:p>
    <w:p>
      <w:pPr>
        <w:pStyle w:val="Heading3"/>
        <w:keepNext/>
        <w:pBdr>
          <w:left w:val="single" w:color="1B9E8E" w:sz="18" w:space="10"/>
        </w:pBdr>
        <w:shd w:fill="E9EBF0" w:color="auto" w:val="clear"/>
        <w:spacing w:after="90" w:before="0" w:line="288"/>
        <w:ind w:left="220" w:right="200"/>
      </w:pPr>
      <w:r>
        <w:rPr>
          <w:rFonts w:ascii="Poppins" w:cs="Poppins" w:eastAsia="Poppins" w:hAnsi="Poppins"/>
          <w:b/>
          <w:bCs/>
          <w:color w:val="2552DE"/>
          <w:sz w:val="21"/>
          <w:szCs w:val="21"/>
        </w:rPr>
        <w:t xml:space="preserve">About this guide</w:t>
      </w:r>
    </w:p>
    <w:p>
      <w:pPr>
        <w:keepNext/>
        <w:keepLines/>
        <w:pBdr>
          <w:left w:val="single" w:color="1B9E8E" w:sz="18" w:space="10"/>
        </w:pBdr>
        <w:shd w:fill="E9EBF0" w:color="auto" w:val="clear"/>
        <w:spacing w:after="100" w:before="0" w:line="288"/>
        <w:ind w:left="220" w:right="200"/>
      </w:pPr>
      <w:r>
        <w:rPr>
          <w:rFonts w:ascii="Inter" w:cs="Inter" w:eastAsia="Inter" w:hAnsi="Inter"/>
          <w:color w:val="14161A"/>
          <w:sz w:val="20"/>
          <w:szCs w:val="20"/>
        </w:rPr>
        <w:t xml:space="preserve">This is reference material for the people involved in governing a major technology program: the board and audit committee, and the executives who work with them.</w:t>
      </w:r>
    </w:p>
    <w:p>
      <w:pPr>
        <w:keepNext/>
        <w:keepLines/>
        <w:pBdr>
          <w:left w:val="single" w:color="1B9E8E" w:sz="18" w:space="10"/>
        </w:pBdr>
        <w:shd w:fill="E9EBF0" w:color="auto" w:val="clear"/>
        <w:spacing w:after="0" w:before="0" w:line="288"/>
        <w:ind w:left="220" w:right="200"/>
      </w:pPr>
      <w:r>
        <w:rPr>
          <w:rFonts w:ascii="Inter" w:cs="Inter" w:eastAsia="Inter" w:hAnsi="Inter"/>
          <w:color w:val="14161A"/>
          <w:sz w:val="20"/>
          <w:szCs w:val="20"/>
        </w:rPr>
        <w:t xml:space="preserve">It assumes no technical background. Where a term is unavoidable, it is explained where it appears.</w:t>
      </w:r>
    </w:p>
    <w:p>
      <w:pPr>
        <w:keepLines/>
        <w:pBdr>
          <w:left w:val="single" w:color="1B9E8E" w:sz="18" w:space="10"/>
        </w:pBdr>
        <w:shd w:fill="E9EBF0" w:color="auto" w:val="clear"/>
        <w:spacing w:after="0" w:before="0" w:line="200"/>
        <w:ind w:left="220" w:right="200"/>
      </w:pPr>
      <w:r>
        <w:rPr>
          <w:sz w:val="8"/>
          <w:szCs w:val="8"/>
        </w:rPr>
        <w:t xml:space="preserve"/>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01   </w:t>
      </w:r>
      <w:r>
        <w:rPr>
          <w:rFonts w:ascii="Poppins" w:cs="Poppins" w:eastAsia="Poppins" w:hAnsi="Poppins"/>
          <w:b/>
          <w:bCs/>
          <w:color w:val="D0DAF8"/>
          <w:spacing w:val="60"/>
          <w:sz w:val="18"/>
          <w:szCs w:val="18"/>
        </w:rPr>
        <w:t xml:space="preserve">DEFINITION</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What governance is</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Governance is how an organization makes decisions: who decides what, on what information, who may challenge a decision, and how quickly the organization learns when one turns out to be wrong.</w:t>
      </w:r>
    </w:p>
    <w:p>
      <w:pPr>
        <w:spacing w:after="150" w:line="288"/>
      </w:pPr>
      <w:r>
        <w:rPr>
          <w:rFonts w:ascii="Inter" w:cs="Inter" w:eastAsia="Inter" w:hAnsi="Inter"/>
          <w:color w:val="14161A"/>
          <w:sz w:val="22"/>
          <w:szCs w:val="22"/>
        </w:rPr>
        <w:t xml:space="preserve">Applied to a major program, it covers a specific set of questions. Who owns the outcome. What the program is for. What may change and who approves it. What is reported, to whom, and how often. What would cause the work to pause. And what is written down along the way.</w:t>
      </w:r>
    </w:p>
    <w:p>
      <w:pPr>
        <w:pStyle w:val="Heading2"/>
        <w:keepNext/>
        <w:spacing w:after="120" w:before="280"/>
      </w:pPr>
      <w:r>
        <w:rPr>
          <w:rFonts w:ascii="Poppins" w:cs="Poppins" w:eastAsia="Poppins" w:hAnsi="Poppins"/>
          <w:b/>
          <w:bCs/>
          <w:color w:val="2552DE"/>
          <w:sz w:val="24"/>
          <w:szCs w:val="24"/>
        </w:rPr>
        <w:t xml:space="preserve">What it is not</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It is not project management. Project management delivers the work; governance decides what the work should be and whether it should continue.</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It is not a committee. A committee is one mechanism among several, and an organization can have committees without governing.</w:t>
      </w:r>
    </w:p>
    <w:p>
      <w:pPr>
        <w:keepNext w:val="false"/>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It is not paperwork, though it produces some. The documents are a by-product of decisions being made deliberately.</w:t>
      </w:r>
    </w:p>
    <w:p>
      <w:pPr>
        <w:pStyle w:val="Heading2"/>
        <w:keepNext/>
        <w:spacing w:after="120" w:before="280"/>
      </w:pPr>
      <w:r>
        <w:rPr>
          <w:rFonts w:ascii="Poppins" w:cs="Poppins" w:eastAsia="Poppins" w:hAnsi="Poppins"/>
          <w:b/>
          <w:bCs/>
          <w:color w:val="2552DE"/>
          <w:sz w:val="24"/>
          <w:szCs w:val="24"/>
        </w:rPr>
        <w:t xml:space="preserve">Three vantage points</w:t>
      </w:r>
    </w:p>
    <w:p>
      <w:pPr>
        <w:spacing w:after="150" w:line="288"/>
      </w:pPr>
      <w:r>
        <w:rPr>
          <w:rFonts w:ascii="Inter" w:cs="Inter" w:eastAsia="Inter" w:hAnsi="Inter"/>
          <w:color w:val="14161A"/>
          <w:sz w:val="22"/>
          <w:szCs w:val="22"/>
        </w:rPr>
        <w:t xml:space="preserve">The same program looks different depending on where you sit. The audit committee and board see summaries. Management sees the daily detail. The record holds whatever was written at the time, which is what anyone who was not there will eventually work from.</w:t>
      </w:r>
    </w:p>
    <w:p>
      <w:pPr>
        <w:spacing w:after="150" w:line="288"/>
      </w:pPr>
      <w:r>
        <w:rPr>
          <w:rFonts w:ascii="Inter" w:cs="Inter" w:eastAsia="Inter" w:hAnsi="Inter"/>
          <w:color w:val="14161A"/>
          <w:sz w:val="22"/>
          <w:szCs w:val="22"/>
        </w:rPr>
        <w:t xml:space="preserve">This guide takes those three in turn, then looks at where they differ. None of the three is the complete picture, and the differences between them are ordinary rather than a sign that something is wrong.</w:t>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02   </w:t>
      </w:r>
      <w:r>
        <w:rPr>
          <w:rFonts w:ascii="Poppins" w:cs="Poppins" w:eastAsia="Poppins" w:hAnsi="Poppins"/>
          <w:b/>
          <w:bCs/>
          <w:color w:val="D0DAF8"/>
          <w:spacing w:val="60"/>
          <w:sz w:val="18"/>
          <w:szCs w:val="18"/>
        </w:rPr>
        <w:t xml:space="preserve">OVERSIGHT</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The board and audit committee</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The board and audit committee are accountable for a program they do not see directly. What reaches them is a summary: a report, a status indicator, a verbal update.</w:t>
      </w:r>
    </w:p>
    <w:p>
      <w:pPr>
        <w:spacing w:after="150" w:line="288"/>
      </w:pPr>
      <w:r>
        <w:rPr>
          <w:rFonts w:ascii="Inter" w:cs="Inter" w:eastAsia="Inter" w:hAnsi="Inter"/>
          <w:color w:val="14161A"/>
          <w:sz w:val="22"/>
          <w:szCs w:val="22"/>
        </w:rPr>
        <w:t xml:space="preserve">Summaries compress. A status color reduces everything about a program to one word, and reporting written by the people doing the work naturally reflects their view of it. Neither is a flaw; both are worth understanding when deciding what to ask for.</w:t>
      </w:r>
    </w:p>
    <w:p>
      <w:pPr>
        <w:pStyle w:val="Heading2"/>
        <w:keepNext/>
        <w:spacing w:after="120" w:before="280"/>
      </w:pPr>
      <w:r>
        <w:rPr>
          <w:rFonts w:ascii="Poppins" w:cs="Poppins" w:eastAsia="Poppins" w:hAnsi="Poppins"/>
          <w:b/>
          <w:bCs/>
          <w:color w:val="2552DE"/>
          <w:sz w:val="24"/>
          <w:szCs w:val="24"/>
        </w:rPr>
        <w:t xml:space="preserve">What oversight usually needs</w:t>
      </w:r>
    </w:p>
    <w:p>
      <w:pPr>
        <w:keepNext/>
        <w:keepLines/>
        <w:shd w:fill="F4F6FB" w:color="auto" w:val="clear"/>
        <w:spacing w:after="0" w:before="0" w:line="200"/>
        <w:ind w:left="220" w:right="200"/>
      </w:pPr>
      <w:r>
        <w:rPr>
          <w:sz w:val="8"/>
          <w:szCs w:val="8"/>
        </w:rPr>
        <w:t xml:space="preserve"/>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Reports far enough in advance to be read, rather than presented in the meeting.</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Named risks and decisions rather than a color or a percentage.</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Spending shown against the original approved figure as well as the current one.</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4.  </w:t>
      </w:r>
      <w:r>
        <w:rPr>
          <w:rFonts w:ascii="Inter" w:cs="Inter" w:eastAsia="Inter" w:hAnsi="Inter"/>
          <w:color w:val="14161A"/>
          <w:sz w:val="20"/>
          <w:szCs w:val="20"/>
        </w:rPr>
        <w:t xml:space="preserve">What changed since the last report, and why.</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5.  </w:t>
      </w:r>
      <w:r>
        <w:rPr>
          <w:rFonts w:ascii="Inter" w:cs="Inter" w:eastAsia="Inter" w:hAnsi="Inter"/>
          <w:color w:val="14161A"/>
          <w:sz w:val="20"/>
          <w:szCs w:val="20"/>
        </w:rPr>
        <w:t xml:space="preserve">At least one view each year from someone who does not report to the program.</w:t>
      </w:r>
    </w:p>
    <w:p>
      <w:pPr>
        <w:keepLines/>
        <w:shd w:fill="F4F6FB" w:color="auto" w:val="clear"/>
        <w:spacing w:after="0" w:before="0" w:line="200"/>
        <w:ind w:left="220" w:right="200"/>
      </w:pPr>
      <w:r>
        <w:rPr>
          <w:sz w:val="8"/>
          <w:szCs w:val="8"/>
        </w:rPr>
        <w:t xml:space="preserve"/>
      </w:r>
    </w:p>
    <w:p>
      <w:pPr>
        <w:pStyle w:val="Heading2"/>
        <w:keepNext/>
        <w:spacing w:after="120" w:before="280"/>
      </w:pPr>
      <w:r>
        <w:rPr>
          <w:rFonts w:ascii="Poppins" w:cs="Poppins" w:eastAsia="Poppins" w:hAnsi="Poppins"/>
          <w:b/>
          <w:bCs/>
          <w:color w:val="2552DE"/>
          <w:sz w:val="24"/>
          <w:szCs w:val="24"/>
        </w:rPr>
        <w:t xml:space="preserve">A measure worth asking for</w:t>
      </w:r>
    </w:p>
    <w:p>
      <w:pPr>
        <w:spacing w:after="150" w:line="288"/>
      </w:pPr>
      <w:r>
        <w:rPr>
          <w:rFonts w:ascii="Inter" w:cs="Inter" w:eastAsia="Inter" w:hAnsi="Inter"/>
          <w:color w:val="14161A"/>
          <w:sz w:val="22"/>
          <w:szCs w:val="22"/>
        </w:rPr>
        <w:t xml:space="preserve">Some boards ask for two dates on each issue: when the program team first identified it, and when the board was told. The interval between them describes how quickly information moves through the organization. It is simple to collect and does not depend on anyone’s judgment about severity.</w:t>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03   </w:t>
      </w:r>
      <w:r>
        <w:rPr>
          <w:rFonts w:ascii="Poppins" w:cs="Poppins" w:eastAsia="Poppins" w:hAnsi="Poppins"/>
          <w:b/>
          <w:bCs/>
          <w:color w:val="D0DAF8"/>
          <w:spacing w:val="60"/>
          <w:sz w:val="18"/>
          <w:szCs w:val="18"/>
        </w:rPr>
        <w:t xml:space="preserve">MANAGEMENT</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Where decisions are made</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From the executive side the picture is specific rather than summarized: a plan with dates, a team doing two jobs, and a system replacement that has to land without disrupting customers.</w:t>
      </w:r>
    </w:p>
    <w:p>
      <w:pPr>
        <w:pStyle w:val="Heading2"/>
        <w:keepNext/>
        <w:spacing w:after="120" w:before="280"/>
      </w:pPr>
      <w:r>
        <w:rPr>
          <w:rFonts w:ascii="Poppins" w:cs="Poppins" w:eastAsia="Poppins" w:hAnsi="Poppins"/>
          <w:b/>
          <w:bCs/>
          <w:color w:val="2552DE"/>
          <w:sz w:val="24"/>
          <w:szCs w:val="24"/>
        </w:rPr>
        <w:t xml:space="preserve">The coordination role</w:t>
      </w:r>
    </w:p>
    <w:p>
      <w:pPr>
        <w:spacing w:after="150" w:line="288"/>
      </w:pPr>
      <w:r>
        <w:rPr>
          <w:rFonts w:ascii="Inter" w:cs="Inter" w:eastAsia="Inter" w:hAnsi="Inter"/>
          <w:color w:val="14161A"/>
          <w:sz w:val="22"/>
          <w:szCs w:val="22"/>
        </w:rPr>
        <w:t xml:space="preserve">A program of this size needs someone running it full time — tracking decisions, chasing answers, telling people when they are behind. Many companies do not have a project office and cannot release a senior person for a year.</w:t>
      </w:r>
    </w:p>
    <w:p>
      <w:pPr>
        <w:spacing w:after="150" w:line="288"/>
      </w:pPr>
      <w:r>
        <w:rPr>
          <w:rFonts w:ascii="Inter" w:cs="Inter" w:eastAsia="Inter" w:hAnsi="Inter"/>
          <w:color w:val="14161A"/>
          <w:sz w:val="22"/>
          <w:szCs w:val="22"/>
        </w:rPr>
        <w:t xml:space="preserve">Where that is the case, much of the coordination often sits with the vendor’s project manager. For the work itself that is a practical arrangement. It becomes a governance question when the same person is also the organization’s main source of judgment about whether the work is going well, since they are measured against the vendor’s milestones.</w:t>
      </w:r>
    </w:p>
    <w:p>
      <w:pPr>
        <w:spacing w:after="150" w:line="288"/>
      </w:pPr>
      <w:r>
        <w:rPr>
          <w:rFonts w:ascii="Inter" w:cs="Inter" w:eastAsia="Inter" w:hAnsi="Inter"/>
          <w:color w:val="14161A"/>
          <w:sz w:val="22"/>
          <w:szCs w:val="22"/>
        </w:rPr>
        <w:t xml:space="preserve">Organizations address this in different ways: naming an internal counterpart even at part-time, asking for a separate internal view alongside the vendor’s reporting, or bringing in a periodic outside read.</w:t>
      </w:r>
    </w:p>
    <w:p>
      <w:pPr>
        <w:pStyle w:val="Heading2"/>
        <w:keepNext/>
        <w:spacing w:after="120" w:before="280"/>
      </w:pPr>
      <w:r>
        <w:rPr>
          <w:rFonts w:ascii="Poppins" w:cs="Poppins" w:eastAsia="Poppins" w:hAnsi="Poppins"/>
          <w:b/>
          <w:bCs/>
          <w:color w:val="2552DE"/>
          <w:sz w:val="24"/>
          <w:szCs w:val="24"/>
        </w:rPr>
        <w:t xml:space="preserve">Questions management usually settles</w:t>
      </w:r>
    </w:p>
    <w:p>
      <w:pPr>
        <w:keepNext/>
        <w:keepLines/>
        <w:shd w:fill="F4F6FB" w:color="auto" w:val="clear"/>
        <w:spacing w:after="0" w:before="0" w:line="200"/>
        <w:ind w:left="220" w:right="200"/>
      </w:pPr>
      <w:r>
        <w:rPr>
          <w:sz w:val="8"/>
          <w:szCs w:val="8"/>
        </w:rPr>
        <w:t xml:space="preserve"/>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Who on our side can tell the vendor that something is not acceptable, and will be supported in it.</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Whether the go-live date comes from the work required or from a fiscal date, a contract expiry, or a meeting.</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Which people have genuinely been released from their day jobs, and which are doing this on top of everything else.</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4.  </w:t>
      </w:r>
      <w:r>
        <w:rPr>
          <w:rFonts w:ascii="Inter" w:cs="Inter" w:eastAsia="Inter" w:hAnsi="Inter"/>
          <w:color w:val="14161A"/>
          <w:sz w:val="20"/>
          <w:szCs w:val="20"/>
        </w:rPr>
        <w:t xml:space="preserve">Whose definition of complete applies when testing is declared finished.</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5.  </w:t>
      </w:r>
      <w:r>
        <w:rPr>
          <w:rFonts w:ascii="Inter" w:cs="Inter" w:eastAsia="Inter" w:hAnsi="Inter"/>
          <w:color w:val="14161A"/>
          <w:sz w:val="20"/>
          <w:szCs w:val="20"/>
        </w:rPr>
        <w:t xml:space="preserve">Who owns the system, and its results, after the implementation team leaves.</w:t>
      </w:r>
    </w:p>
    <w:p>
      <w:pPr>
        <w:keepLines/>
        <w:shd w:fill="F4F6FB" w:color="auto" w:val="clear"/>
        <w:spacing w:after="0" w:before="0" w:line="200"/>
        <w:ind w:left="220" w:right="200"/>
      </w:pPr>
      <w:r>
        <w:rPr>
          <w:sz w:val="8"/>
          <w:szCs w:val="8"/>
        </w:rPr>
        <w:t xml:space="preserve"/>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04   </w:t>
      </w:r>
      <w:r>
        <w:rPr>
          <w:rFonts w:ascii="Poppins" w:cs="Poppins" w:eastAsia="Poppins" w:hAnsi="Poppins"/>
          <w:b/>
          <w:bCs/>
          <w:color w:val="D0DAF8"/>
          <w:spacing w:val="60"/>
          <w:sz w:val="18"/>
          <w:szCs w:val="18"/>
        </w:rPr>
        <w:t xml:space="preserve">THE RECORD</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What gets written down</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The third vantage point is not a person. It is the record: minutes, decision logs, risk registers, approvals, and the contract file. It is what remains after the program ends and the people involved move on.</w:t>
      </w:r>
    </w:p>
    <w:p>
      <w:pPr>
        <w:spacing w:after="150" w:line="288"/>
      </w:pPr>
      <w:r>
        <w:rPr>
          <w:rFonts w:ascii="Inter" w:cs="Inter" w:eastAsia="Inter" w:hAnsi="Inter"/>
          <w:color w:val="14161A"/>
          <w:sz w:val="22"/>
          <w:szCs w:val="22"/>
        </w:rPr>
        <w:t xml:space="preserve">External auditors read it. A buyer’s diligence team reads it during a transaction. An incoming executive team reads it when deciding what to change.</w:t>
      </w:r>
    </w:p>
    <w:p>
      <w:pPr>
        <w:spacing w:after="150" w:line="288"/>
      </w:pPr>
      <w:r>
        <w:rPr>
          <w:rFonts w:ascii="Inter" w:cs="Inter" w:eastAsia="Inter" w:hAnsi="Inter"/>
          <w:color w:val="14161A"/>
          <w:sz w:val="22"/>
          <w:szCs w:val="22"/>
        </w:rPr>
        <w:t xml:space="preserve">Diligence work in particular is done almost entirely from records. A reviewer with two weeks and four years of board minutes is not able to ask anyone what happened; they can only read what was written at the time.</w:t>
      </w:r>
    </w:p>
    <w:p>
      <w:pPr>
        <w:pStyle w:val="Heading2"/>
        <w:keepNext/>
        <w:spacing w:after="120" w:before="280"/>
      </w:pPr>
      <w:r>
        <w:rPr>
          <w:rFonts w:ascii="Poppins" w:cs="Poppins" w:eastAsia="Poppins" w:hAnsi="Poppins"/>
          <w:b/>
          <w:bCs/>
          <w:color w:val="2552DE"/>
          <w:sz w:val="24"/>
          <w:szCs w:val="24"/>
        </w:rPr>
        <w:t xml:space="preserve">What a useful record contains</w:t>
      </w:r>
    </w:p>
    <w:p>
      <w:pPr>
        <w:spacing w:after="150" w:line="288"/>
      </w:pPr>
      <w:r>
        <w:rPr>
          <w:rFonts w:ascii="Inter" w:cs="Inter" w:eastAsia="Inter" w:hAnsi="Inter"/>
          <w:color w:val="14161A"/>
          <w:sz w:val="22"/>
          <w:szCs w:val="22"/>
        </w:rPr>
        <w:t xml:space="preserve">The test is not volume. It is whether someone could reconstruct, a year or more later, why a decision was made and what was known at the time. For each significant decision, most organizations record:</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What was decided.</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What the alternatives were.</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What risk was accepted, and by whom.</w:t>
      </w:r>
    </w:p>
    <w:p>
      <w:pPr>
        <w:keepNext w:val="false"/>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The date, and who was present.</w:t>
      </w:r>
    </w:p>
    <w:p>
      <w:pPr>
        <w:spacing w:after="150" w:line="288"/>
      </w:pPr>
      <w:r>
        <w:rPr>
          <w:rFonts w:ascii="Inter" w:cs="Inter" w:eastAsia="Inter" w:hAnsi="Inter"/>
          <w:color w:val="14161A"/>
          <w:sz w:val="22"/>
          <w:szCs w:val="22"/>
        </w:rPr>
        <w:t xml:space="preserve">One paragraph per decision is usually enough. Minutes that record attendance and outcomes but not the questions asked tend to understate the oversight that actually took place.</w:t>
      </w:r>
    </w:p>
    <w:p>
      <w:pPr>
        <w:spacing w:after="140" w:before="240"/>
      </w:pPr>
    </w:p>
    <w:p>
      <w:pPr>
        <w:keepNext/>
        <w:keepLines/>
        <w:pBdr>
          <w:left w:val="single" w:color="C9A227" w:sz="18" w:space="10"/>
        </w:pBdr>
        <w:shd w:fill="E9EBF0" w:color="auto" w:val="clear"/>
        <w:spacing w:after="0" w:before="0" w:line="200"/>
        <w:ind w:left="220" w:right="200"/>
      </w:pPr>
      <w:r>
        <w:rPr>
          <w:sz w:val="8"/>
          <w:szCs w:val="8"/>
        </w:rPr>
        <w:t xml:space="preserve"/>
      </w:r>
    </w:p>
    <w:p>
      <w:pPr>
        <w:pStyle w:val="Heading3"/>
        <w:keepNext/>
        <w:pBdr>
          <w:left w:val="single" w:color="C9A227" w:sz="18" w:space="10"/>
        </w:pBdr>
        <w:shd w:fill="E9EBF0" w:color="auto" w:val="clear"/>
        <w:spacing w:after="90" w:before="0" w:line="288"/>
        <w:ind w:left="220" w:right="200"/>
      </w:pPr>
      <w:r>
        <w:rPr>
          <w:rFonts w:ascii="Poppins" w:cs="Poppins" w:eastAsia="Poppins" w:hAnsi="Poppins"/>
          <w:b/>
          <w:bCs/>
          <w:color w:val="2552DE"/>
          <w:sz w:val="21"/>
          <w:szCs w:val="21"/>
        </w:rPr>
        <w:t xml:space="preserve">Two common positions</w:t>
      </w:r>
    </w:p>
    <w:p>
      <w:pPr>
        <w:keepNext/>
        <w:keepLines/>
        <w:pBdr>
          <w:left w:val="single" w:color="C9A227" w:sz="18" w:space="10"/>
        </w:pBdr>
        <w:shd w:fill="E9EBF0" w:color="auto" w:val="clear"/>
        <w:spacing w:after="100" w:before="0" w:line="288"/>
        <w:ind w:left="220" w:right="200"/>
      </w:pPr>
      <w:r>
        <w:rPr>
          <w:rFonts w:ascii="Inter" w:cs="Inter" w:eastAsia="Inter" w:hAnsi="Inter"/>
          <w:color w:val="14161A"/>
          <w:sz w:val="20"/>
          <w:szCs w:val="20"/>
        </w:rPr>
        <w:t xml:space="preserve">Some organizations govern well informally — real debate, careful decisions — and record very little of it. Others document thoroughly while the substance is thinner. On paper these look similar.</w:t>
      </w:r>
    </w:p>
    <w:p>
      <w:pPr>
        <w:keepNext/>
        <w:keepLines/>
        <w:pBdr>
          <w:left w:val="single" w:color="C9A227" w:sz="18" w:space="10"/>
        </w:pBdr>
        <w:shd w:fill="E9EBF0" w:color="auto" w:val="clear"/>
        <w:spacing w:after="0" w:before="0" w:line="288"/>
        <w:ind w:left="220" w:right="200"/>
      </w:pPr>
      <w:r>
        <w:rPr>
          <w:rFonts w:ascii="Inter" w:cs="Inter" w:eastAsia="Inter" w:hAnsi="Inter"/>
          <w:color w:val="14161A"/>
          <w:sz w:val="20"/>
          <w:szCs w:val="20"/>
        </w:rPr>
        <w:t xml:space="preserve">The first group is usually well run and has no way to show it. The gap is worth closing simply because the effort has already been spent; only the writing down is missing.</w:t>
      </w:r>
    </w:p>
    <w:p>
      <w:pPr>
        <w:keepLines/>
        <w:pBdr>
          <w:left w:val="single" w:color="C9A227" w:sz="18" w:space="10"/>
        </w:pBdr>
        <w:shd w:fill="E9EBF0" w:color="auto" w:val="clear"/>
        <w:spacing w:after="0" w:before="0" w:line="200"/>
        <w:ind w:left="220" w:right="200"/>
      </w:pPr>
      <w:r>
        <w:rPr>
          <w:sz w:val="8"/>
          <w:szCs w:val="8"/>
        </w:rPr>
        <w:t xml:space="preserve"/>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05   </w:t>
      </w:r>
      <w:r>
        <w:rPr>
          <w:rFonts w:ascii="Poppins" w:cs="Poppins" w:eastAsia="Poppins" w:hAnsi="Poppins"/>
          <w:b/>
          <w:bCs/>
          <w:color w:val="D0DAF8"/>
          <w:spacing w:val="60"/>
          <w:sz w:val="18"/>
          <w:szCs w:val="18"/>
        </w:rPr>
        <w:t xml:space="preserve">COMPARISON</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Where the three views differ</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Set the three side by side and they rarely match. That is expected: each describes the part of the program visible from where it sits.</w:t>
      </w:r>
    </w:p>
    <w:p>
      <w:pPr>
        <w:spacing w:after="1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VANTAGE POINT</w:t>
            </w:r>
          </w:p>
        </w:tc>
        <w:tc>
          <w:tcPr>
            <w:tcW w:type="dxa" w:w="348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WHAT IT HOLDS</w:t>
            </w:r>
          </w:p>
        </w:tc>
        <w:tc>
          <w:tcPr>
            <w:tcW w:type="dxa" w:w="348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WHAT IT DOES NOT HOLD</w:t>
            </w:r>
          </w:p>
        </w:tc>
      </w:tr>
      <w:tr>
        <w:trPr>
          <w:cantSplit/>
        </w:trPr>
        <w:tc>
          <w:tcPr>
            <w:tcW w:type="dxa" w:w="24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The board and audit committee</w:t>
            </w:r>
          </w:p>
        </w:tc>
        <w:tc>
          <w:tcPr>
            <w:tcW w:type="dxa" w:w="34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The reported position over time, and the decisions the board was asked to make.</w:t>
            </w:r>
          </w:p>
        </w:tc>
        <w:tc>
          <w:tcPr>
            <w:tcW w:type="dxa" w:w="34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How long an issue existed before it was reported, and what was summarized away.</w:t>
            </w:r>
          </w:p>
        </w:tc>
      </w:tr>
      <w:tr>
        <w:trPr>
          <w:cantSplit/>
        </w:trPr>
        <w:tc>
          <w:tcPr>
            <w:tcW w:type="dxa" w:w="24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Management</w:t>
            </w:r>
          </w:p>
        </w:tc>
        <w:tc>
          <w:tcPr>
            <w:tcW w:type="dxa" w:w="34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The detail: constraints, trade-offs, and the reasons behind each choice.</w:t>
            </w:r>
          </w:p>
        </w:tc>
        <w:tc>
          <w:tcPr>
            <w:tcW w:type="dxa" w:w="34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How the same choices read to someone who was not in the conversation.</w:t>
            </w:r>
          </w:p>
        </w:tc>
      </w:tr>
      <w:tr>
        <w:trPr>
          <w:cantSplit/>
        </w:trPr>
        <w:tc>
          <w:tcPr>
            <w:tcW w:type="dxa" w:w="24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The record</w:t>
            </w:r>
          </w:p>
        </w:tc>
        <w:tc>
          <w:tcPr>
            <w:tcW w:type="dxa" w:w="34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What was written at the time, which is what anyone later will work from.</w:t>
            </w:r>
          </w:p>
        </w:tc>
        <w:tc>
          <w:tcPr>
            <w:tcW w:type="dxa" w:w="34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Anything decided in a room where nobody was writing.</w:t>
            </w:r>
          </w:p>
        </w:tc>
      </w:tr>
    </w:tbl>
    <w:p>
      <w:pPr>
        <w:spacing w:after="0" w:before="260"/>
      </w:pPr>
    </w:p>
    <w:p>
      <w:pPr>
        <w:spacing w:after="150" w:line="288"/>
      </w:pPr>
      <w:r>
        <w:rPr>
          <w:rFonts w:ascii="Inter" w:cs="Inter" w:eastAsia="Inter" w:hAnsi="Inter"/>
          <w:color w:val="14161A"/>
          <w:sz w:val="22"/>
          <w:szCs w:val="22"/>
        </w:rPr>
        <w:t xml:space="preserve">Differences between the three are normal and not in themselves a problem. They are worth attention when they are large, or when nobody has looked. A common way to check is to ask the board chair, the chief executive, and the audit committee chair the same three questions separately: what is the biggest risk on this program, what would cause us to pause it, and who decides that. Where the answers differ, the difference is usually informative.</w:t>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06   </w:t>
      </w:r>
      <w:r>
        <w:rPr>
          <w:rFonts w:ascii="Poppins" w:cs="Poppins" w:eastAsia="Poppins" w:hAnsi="Poppins"/>
          <w:b/>
          <w:bCs/>
          <w:color w:val="D0DAF8"/>
          <w:spacing w:val="60"/>
          <w:sz w:val="18"/>
          <w:szCs w:val="18"/>
        </w:rPr>
        <w:t xml:space="preserve">PRACTICE</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Five practices that connect them</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None of these requires a project office, a new committee, or software. They are the practices most commonly found where the three views stay close together.</w:t>
      </w:r>
    </w:p>
    <w:p>
      <w:pPr>
        <w:spacing w:after="140" w:before="60"/>
      </w:pPr>
    </w:p>
    <w:p>
      <w:pPr>
        <w:keepNext/>
        <w:keepLines/>
        <w:shd w:fill="F4F6FB" w:color="auto" w:val="clear"/>
        <w:spacing w:after="0" w:before="0" w:line="200"/>
        <w:ind w:left="220" w:right="200"/>
      </w:pPr>
      <w:r>
        <w:rPr>
          <w:sz w:val="8"/>
          <w:szCs w:val="8"/>
        </w:rPr>
        <w:t xml:space="preserve"/>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One person owns the outcome, not the project. Owning the project means the work gets done. Owning the outcome means someone answers for whether it was worth doing. These are different jobs, and the second is often unassigned.</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A short decision record exists. One page, updated as decisions are made: what was decided, the alternatives, the risk accepted, who accepted it, and when.</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There is a route for bad news that does not run through the person reporting progress. Internal audit, the audit committee, or an outside advisor, named in advance and expected to use it.</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4.  </w:t>
      </w:r>
      <w:r>
        <w:rPr>
          <w:rFonts w:ascii="Inter" w:cs="Inter" w:eastAsia="Inter" w:hAnsi="Inter"/>
          <w:color w:val="14161A"/>
          <w:sz w:val="20"/>
          <w:szCs w:val="20"/>
        </w:rPr>
        <w:t xml:space="preserve">One independent view is obtained before commitment. Someone who does not report to the program and is not paid by the vendor describes what they see.</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5.  </w:t>
      </w:r>
      <w:r>
        <w:rPr>
          <w:rFonts w:ascii="Inter" w:cs="Inter" w:eastAsia="Inter" w:hAnsi="Inter"/>
          <w:color w:val="14161A"/>
          <w:sz w:val="20"/>
          <w:szCs w:val="20"/>
        </w:rPr>
        <w:t xml:space="preserve">Stopping conditions are agreed at the start. What would cause the work to pause, and who is able to call it. Agreeing this early means it can later be raised as procedure rather than as a challenge to anyone.</w:t>
      </w:r>
    </w:p>
    <w:p>
      <w:pPr>
        <w:keepLines/>
        <w:shd w:fill="F4F6FB" w:color="auto" w:val="clear"/>
        <w:spacing w:after="0" w:before="0" w:line="200"/>
        <w:ind w:left="220" w:right="200"/>
      </w:pPr>
      <w:r>
        <w:rPr>
          <w:sz w:val="8"/>
          <w:szCs w:val="8"/>
        </w:rPr>
        <w:t xml:space="preserve"/>
      </w:r>
    </w:p>
    <w:p>
      <w:pPr>
        <w:spacing w:after="140" w:before="280"/>
      </w:pPr>
    </w:p>
    <w:p>
      <w:pPr>
        <w:keepNext/>
        <w:keepLines/>
        <w:pBdr>
          <w:left w:val="single" w:color="1B9E8E" w:sz="18" w:space="10"/>
        </w:pBdr>
        <w:shd w:fill="E9EBF0" w:color="auto" w:val="clear"/>
        <w:spacing w:after="0" w:before="0" w:line="200"/>
        <w:ind w:left="220" w:right="200"/>
      </w:pPr>
      <w:r>
        <w:rPr>
          <w:sz w:val="8"/>
          <w:szCs w:val="8"/>
        </w:rPr>
        <w:t xml:space="preserve"/>
      </w:r>
    </w:p>
    <w:p>
      <w:pPr>
        <w:pStyle w:val="Heading3"/>
        <w:keepNext/>
        <w:pBdr>
          <w:left w:val="single" w:color="1B9E8E" w:sz="18" w:space="10"/>
        </w:pBdr>
        <w:shd w:fill="E9EBF0" w:color="auto" w:val="clear"/>
        <w:spacing w:after="90" w:before="0" w:line="288"/>
        <w:ind w:left="220" w:right="200"/>
      </w:pPr>
      <w:r>
        <w:rPr>
          <w:rFonts w:ascii="Poppins" w:cs="Poppins" w:eastAsia="Poppins" w:hAnsi="Poppins"/>
          <w:b/>
          <w:bCs/>
          <w:color w:val="2552DE"/>
          <w:sz w:val="21"/>
          <w:szCs w:val="21"/>
        </w:rPr>
        <w:t xml:space="preserve">The common thread</w:t>
      </w:r>
    </w:p>
    <w:p>
      <w:pPr>
        <w:keepNext/>
        <w:keepLines/>
        <w:pBdr>
          <w:left w:val="single" w:color="1B9E8E" w:sz="18" w:space="10"/>
        </w:pBdr>
        <w:shd w:fill="E9EBF0" w:color="auto" w:val="clear"/>
        <w:spacing w:after="0" w:before="0" w:line="288"/>
        <w:ind w:left="220" w:right="200"/>
      </w:pPr>
      <w:r>
        <w:rPr>
          <w:rFonts w:ascii="Inter" w:cs="Inter" w:eastAsia="Inter" w:hAnsi="Inter"/>
          <w:color w:val="14161A"/>
          <w:sz w:val="20"/>
          <w:szCs w:val="20"/>
        </w:rPr>
        <w:t xml:space="preserve">Each of the five shortens the distance between one person knowing something and everyone who needs to know it knowing it. That distance is the practical measure of how well an organization governs.</w:t>
      </w:r>
    </w:p>
    <w:p>
      <w:pPr>
        <w:keepLines/>
        <w:pBdr>
          <w:left w:val="single" w:color="1B9E8E" w:sz="18" w:space="10"/>
        </w:pBdr>
        <w:shd w:fill="E9EBF0" w:color="auto" w:val="clear"/>
        <w:spacing w:after="0" w:before="0" w:line="200"/>
        <w:ind w:left="220" w:right="200"/>
      </w:pPr>
      <w:r>
        <w:rPr>
          <w:sz w:val="8"/>
          <w:szCs w:val="8"/>
        </w:rPr>
        <w:t xml:space="preserve"/>
      </w:r>
    </w:p>
    <w:p>
      <w:pPr>
        <w:pStyle w:val="Heading2"/>
        <w:keepNext/>
        <w:pageBreakBefore/>
        <w:spacing w:after="130"/>
      </w:pPr>
      <w:r>
        <w:rPr>
          <w:rFonts w:ascii="Poppins" w:cs="Poppins" w:eastAsia="Poppins" w:hAnsi="Poppins"/>
          <w:b/>
          <w:bCs/>
          <w:color w:val="7F6619"/>
          <w:spacing w:val="60"/>
          <w:sz w:val="18"/>
          <w:szCs w:val="18"/>
        </w:rPr>
        <w:t xml:space="preserve">ABOUT J. LYNNE &amp; CO.</w:t>
      </w:r>
    </w:p>
    <w:p>
      <w:pPr>
        <w:spacing w:after="300"/>
      </w:pPr>
      <w:r>
        <w:drawing>
          <wp:inline distT="0" distB="0" distL="0" distR="0">
            <wp:extent cx="723900" cy="723900"/>
            <wp:effectExtent t="0" r="0" b="0" l="0"/>
            <wp:docPr id="1" name="J. Lynne &amp; Co. logo" descr="The J. Lynne &amp; Co. mark: a stylised bull rendered in blue." title="J. Lynne &amp; C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3900" cy="723900"/>
                    </a:xfrm>
                    <a:prstGeom prst="rect">
                      <a:avLst/>
                    </a:prstGeom>
                  </pic:spPr>
                </pic:pic>
              </a:graphicData>
            </a:graphic>
          </wp:inline>
        </w:drawing>
      </w:r>
    </w:p>
    <w:p>
      <w:pPr>
        <w:spacing w:after="150" w:line="288"/>
      </w:pPr>
      <w:r>
        <w:rPr>
          <w:rFonts w:ascii="Inter" w:cs="Inter" w:eastAsia="Inter" w:hAnsi="Inter"/>
          <w:color w:val="14161A"/>
          <w:sz w:val="22"/>
          <w:szCs w:val="22"/>
        </w:rPr>
        <w:t xml:space="preserve">J. Lynne &amp; Co. is an independent governance advisory firm working with organizations to lead major transformations with confidence. We take no vendor commissions and hold no reseller agreements.</w:t>
      </w:r>
    </w:p>
    <w:p>
      <w:pPr>
        <w:spacing w:after="150" w:line="288"/>
      </w:pPr>
      <w:r>
        <w:rPr>
          <w:rFonts w:ascii="Inter" w:cs="Inter" w:eastAsia="Inter" w:hAnsi="Inter"/>
          <w:color w:val="14161A"/>
          <w:sz w:val="22"/>
          <w:szCs w:val="22"/>
        </w:rPr>
        <w:t xml:space="preserve">We publish reference material of this kind for executives, boards, and program sponsors. If it is useful, you are welcome to adapt it for your own organization.</w:t>
      </w:r>
    </w:p>
    <w:p>
      <w:pPr>
        <w:spacing w:after="140" w:before="240"/>
      </w:pPr>
    </w:p>
    <w:p>
      <w:pPr>
        <w:keepNext/>
        <w:keepLines/>
        <w:pBdr>
          <w:left w:val="single" w:color="2552DE" w:sz="18" w:space="10"/>
        </w:pBdr>
        <w:shd w:fill="E9EBF0" w:color="auto" w:val="clear"/>
        <w:spacing w:after="0" w:before="0" w:line="200"/>
        <w:ind w:left="220" w:right="200"/>
      </w:pPr>
      <w:r>
        <w:rPr>
          <w:sz w:val="8"/>
          <w:szCs w:val="8"/>
        </w:rPr>
        <w:t xml:space="preserve"/>
      </w:r>
    </w:p>
    <w:p>
      <w:pPr>
        <w:pStyle w:val="Heading3"/>
        <w:keepNext/>
        <w:pBdr>
          <w:left w:val="single" w:color="2552DE" w:sz="18" w:space="10"/>
        </w:pBdr>
        <w:shd w:fill="E9EBF0" w:color="auto" w:val="clear"/>
        <w:spacing w:after="90" w:before="0" w:line="288"/>
        <w:ind w:left="220" w:right="200"/>
      </w:pPr>
      <w:r>
        <w:rPr>
          <w:rFonts w:ascii="Poppins" w:cs="Poppins" w:eastAsia="Poppins" w:hAnsi="Poppins"/>
          <w:b/>
          <w:bCs/>
          <w:color w:val="2552DE"/>
          <w:sz w:val="21"/>
          <w:szCs w:val="21"/>
        </w:rPr>
        <w:t xml:space="preserve">If you would like to talk</w:t>
      </w:r>
    </w:p>
    <w:p>
      <w:pPr>
        <w:keepNext/>
        <w:keepLines/>
        <w:pBdr>
          <w:left w:val="single" w:color="2552DE" w:sz="18" w:space="10"/>
        </w:pBdr>
        <w:shd w:fill="E9EBF0" w:color="auto" w:val="clear"/>
        <w:spacing w:after="100" w:before="0" w:line="288"/>
        <w:ind w:left="220" w:right="200"/>
      </w:pPr>
      <w:r>
        <w:rPr>
          <w:rFonts w:ascii="Inter" w:cs="Inter" w:eastAsia="Inter" w:hAnsi="Inter"/>
          <w:color w:val="14161A"/>
          <w:sz w:val="20"/>
          <w:szCs w:val="20"/>
        </w:rPr>
        <w:t xml:space="preserve">We are happy to answer questions about anything in this guide, or to look at a program you have underway.</w:t>
      </w:r>
    </w:p>
    <w:p>
      <w:pPr>
        <w:keepNext/>
        <w:keepLines/>
        <w:pBdr>
          <w:left w:val="single" w:color="2552DE" w:sz="18" w:space="10"/>
        </w:pBdr>
        <w:shd w:fill="E9EBF0" w:color="auto" w:val="clear"/>
        <w:spacing w:after="100" w:before="0" w:line="288"/>
        <w:ind w:left="220" w:right="200"/>
      </w:pPr>
      <w:r>
        <w:rPr>
          <w:rFonts w:ascii="Inter" w:cs="Inter" w:eastAsia="Inter" w:hAnsi="Inter"/>
          <w:color w:val="14161A"/>
          <w:sz w:val="20"/>
          <w:szCs w:val="20"/>
        </w:rPr>
        <w:t xml:space="preserve">Website:  </w:t>
      </w:r>
      <w:hyperlink w:history="1" r:id="rId1ugwzu9cvzubh-nn-kltv">
        <w:r>
          <w:rPr>
            <w:rFonts w:ascii="Inter" w:cs="Inter" w:eastAsia="Inter" w:hAnsi="Inter"/>
            <w:color w:val="2552DE"/>
            <w:sz w:val="20"/>
            <w:szCs w:val="20"/>
            <w:u w:val="single" w:color="2552DE"/>
          </w:rPr>
          <w:t xml:space="preserve">jlynne.co</w:t>
        </w:r>
      </w:hyperlink>
    </w:p>
    <w:p>
      <w:pPr>
        <w:keepNext/>
        <w:keepLines/>
        <w:pBdr>
          <w:left w:val="single" w:color="2552DE" w:sz="18" w:space="10"/>
        </w:pBdr>
        <w:shd w:fill="E9EBF0" w:color="auto" w:val="clear"/>
        <w:spacing w:after="0" w:before="0" w:line="288"/>
        <w:ind w:left="220" w:right="200"/>
      </w:pPr>
      <w:r>
        <w:rPr>
          <w:rFonts w:ascii="Inter" w:cs="Inter" w:eastAsia="Inter" w:hAnsi="Inter"/>
          <w:color w:val="14161A"/>
          <w:sz w:val="20"/>
          <w:szCs w:val="20"/>
        </w:rPr>
        <w:t xml:space="preserve">Book a conversation:  </w:t>
      </w:r>
      <w:hyperlink w:history="1" r:id="rId4bxazbwbh91p_f3hsqmzf">
        <w:r>
          <w:rPr>
            <w:rFonts w:ascii="Inter" w:cs="Inter" w:eastAsia="Inter" w:hAnsi="Inter"/>
            <w:color w:val="2552DE"/>
            <w:sz w:val="20"/>
            <w:szCs w:val="20"/>
            <w:u w:val="single" w:color="2552DE"/>
          </w:rPr>
          <w:t xml:space="preserve">jlynne.co/contact</w:t>
        </w:r>
      </w:hyperlink>
    </w:p>
    <w:p>
      <w:pPr>
        <w:keepLines/>
        <w:pBdr>
          <w:left w:val="single" w:color="2552DE" w:sz="18" w:space="10"/>
        </w:pBdr>
        <w:shd w:fill="E9EBF0" w:color="auto" w:val="clear"/>
        <w:spacing w:after="0" w:before="0" w:line="200"/>
        <w:ind w:left="220" w:right="200"/>
      </w:pPr>
      <w:r>
        <w:rPr>
          <w:sz w:val="8"/>
          <w:szCs w:val="8"/>
        </w:rPr>
        <w:t xml:space="preserve"/>
      </w:r>
    </w:p>
    <w:p>
      <w:pPr>
        <w:spacing w:before="700"/>
      </w:pPr>
    </w:p>
    <w:p>
      <w:pPr>
        <w:pBdr>
          <w:bottom w:val="single" w:color="E9EBF0" w:sz="6"/>
        </w:pBdr>
        <w:spacing w:after="160" w:before="0"/>
      </w:pPr>
      <w:r>
        <w:rPr>
          <w:sz w:val="2"/>
          <w:szCs w:val="2"/>
        </w:rPr>
        <w:t xml:space="preserve"/>
      </w:r>
    </w:p>
    <w:p>
      <w:pPr>
        <w:spacing w:after="90" w:line="264"/>
      </w:pPr>
      <w:r>
        <w:rPr>
          <w:rFonts w:ascii="Inter" w:cs="Inter" w:eastAsia="Inter" w:hAnsi="Inter"/>
          <w:color w:val="4A4F58"/>
          <w:sz w:val="18"/>
          <w:szCs w:val="18"/>
        </w:rPr>
        <w:t xml:space="preserve">This document is general reference material. It is not legal, accounting, or regulatory advice, and it is not a substitute for professional counsel on your organization’s circumstances.</w:t>
      </w:r>
    </w:p>
    <w:p>
      <w:pPr>
        <w:spacing w:after="90" w:line="264"/>
      </w:pPr>
      <w:r>
        <w:rPr>
          <w:rFonts w:ascii="Inter" w:cs="Inter" w:eastAsia="Inter" w:hAnsi="Inter"/>
          <w:color w:val="4A4F58"/>
          <w:sz w:val="18"/>
          <w:szCs w:val="18"/>
        </w:rPr>
        <w:t xml:space="preserve">© 2026 J. Lynne &amp; Co. All rights reserved.</w:t>
      </w:r>
    </w:p>
    <w:sectPr>
      <w:footerReference w:type="default" r:id="rId7"/>
      <w:pgSz w:w="12240" w:h="15840" w:orient="portrait"/>
      <w:pgMar w:top="144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9EBF0" w:sz="6"/>
      </w:pBdr>
      <w:spacing w:after="80" w:before="0"/>
    </w:pPr>
    <w:r>
      <w:rPr>
        <w:sz w:val="2"/>
        <w:szCs w:val="2"/>
      </w:rPr>
      <w:t xml:space="preserve"/>
    </w:r>
  </w:p>
  <w:p>
    <w:pPr>
      <w:tabs>
        <w:tab w:val="right" w:pos="9360"/>
      </w:tabs>
    </w:pPr>
    <w:r>
      <w:rPr>
        <w:rFonts w:ascii="Inter" w:cs="Inter" w:eastAsia="Inter" w:hAnsi="Inter"/>
        <w:color w:val="4A4F58"/>
        <w:sz w:val="18"/>
        <w:szCs w:val="18"/>
      </w:rPr>
      <w:t xml:space="preserve">Executive Governance Overview</w:t>
    </w:r>
    <w:r>
      <w:rPr>
        <w:rFonts w:ascii="Inter" w:cs="Inter" w:eastAsia="Inter" w:hAnsi="Inter"/>
        <w:sz w:val="18"/>
        <w:szCs w:val="18"/>
      </w:rPr>
      <w:t xml:space="preserve">	</w:t>
    </w:r>
    <w:r>
      <w:rPr>
        <w:rFonts w:ascii="Inter" w:cs="Inter" w:eastAsia="Inter" w:hAnsi="Inter"/>
        <w:color w:val="4A4F58"/>
        <w:sz w:val="18"/>
        <w:szCs w:val="18"/>
      </w:rPr>
      <w:t xml:space="preserve">J. Lynne &amp; Co.</w:t>
    </w:r>
    <w:r>
      <w:rPr>
        <w:rFonts w:ascii="Inter" w:cs="Inter" w:eastAsia="Inter" w:hAnsi="Inter"/>
        <w:color w:val="7F6619"/>
        <w:sz w:val="18"/>
        <w:szCs w:val="18"/>
      </w:rPr>
      <w:t xml:space="preserve"> · </w:t>
    </w:r>
    <w:r>
      <w:rPr>
        <w:rFonts w:ascii="Inter" w:cs="Inter" w:eastAsia="Inter" w:hAnsi="Inter"/>
        <w:b/>
        <w:bCs/>
        <w:color w:val="4A4F5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4161A"/>
        <w:sz w:val="22"/>
        <w:szCs w:val="22"/>
        <w:lang w:val="en-US"/>
      </w:rPr>
    </w:rPrDefault>
    <w:pPrDefault>
      <w:pPr>
        <w:widowControl/>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Poppins" w:cs="Poppins" w:eastAsia="Poppins" w:hAnsi="Poppins"/>
      <w:b/>
      <w:bCs/>
      <w:color w:val="FFFFFF"/>
      <w:sz w:val="28"/>
      <w:szCs w:val="28"/>
    </w:rPr>
  </w:style>
  <w:style w:type="paragraph" w:styleId="Heading2">
    <w:name w:val="Heading 2"/>
    <w:basedOn w:val="Normal"/>
    <w:next w:val="Normal"/>
    <w:qFormat/>
    <w:rPr>
      <w:rFonts w:ascii="Poppins" w:cs="Poppins" w:eastAsia="Poppins" w:hAnsi="Poppins"/>
      <w:b/>
      <w:bCs/>
      <w:color w:val="2552DE"/>
      <w:sz w:val="24"/>
      <w:szCs w:val="24"/>
    </w:rPr>
  </w:style>
  <w:style w:type="paragraph" w:styleId="Heading3">
    <w:name w:val="Heading 3"/>
    <w:basedOn w:val="Normal"/>
    <w:next w:val="Normal"/>
    <w:qFormat/>
    <w:rPr>
      <w:rFonts w:ascii="Poppins" w:cs="Poppins" w:eastAsia="Poppins" w:hAnsi="Poppins"/>
      <w:b/>
      <w:bCs/>
      <w:color w:val="14161A"/>
      <w:sz w:val="21"/>
      <w:szCs w:val="21"/>
    </w:rPr>
  </w:style>
  <w:style w:type="paragraph" w:styleId="Title">
    <w:name w:val="Title"/>
    <w:basedOn w:val="Normal"/>
    <w:next w:val="Normal"/>
    <w:qFormat/>
    <w:rPr>
      <w:rFonts w:ascii="Poppins" w:cs="Poppins" w:eastAsia="Poppins" w:hAnsi="Poppins"/>
      <w:b/>
      <w:bCs/>
      <w:color w:val="14161A"/>
      <w:sz w:val="58"/>
      <w:szCs w:val="5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ugwzu9cvzubh-nn-kltv" Type="http://schemas.openxmlformats.org/officeDocument/2006/relationships/hyperlink" Target="https://jlynne.co" TargetMode="External"/><Relationship Id="rId4bxazbwbh91p_f3hsqmzf" Type="http://schemas.openxmlformats.org/officeDocument/2006/relationships/hyperlink" Target="https://jlynne.co/contact" TargetMode="External"/><Relationship Id="rId8" Type="http://schemas.openxmlformats.org/officeDocument/2006/relationships/image" Target="media/fc988f3b224f6f78f894961ef07cbfa27978904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Governance Overview — Private sector edition</dc:title>
  <dc:creator>J. Lynne &amp; Co.</dc:creator>
  <dc:description>A reference guide to how governance works around a major technology program in a company: the board's view, the management view, the record, and the practices that connect them.</dc:description>
  <cp:lastModifiedBy>Un-named</cp:lastModifiedBy>
  <cp:revision>1</cp:revision>
  <dcterms:created xsi:type="dcterms:W3CDTF">2026-07-31T14:45:04.538Z</dcterms:created>
  <dcterms:modified xsi:type="dcterms:W3CDTF">2026-07-31T14:45:04.538Z</dcterms:modified>
</cp:coreProperties>
</file>

<file path=docProps/custom.xml><?xml version="1.0" encoding="utf-8"?>
<Properties xmlns="http://schemas.openxmlformats.org/officeDocument/2006/custom-properties" xmlns:vt="http://schemas.openxmlformats.org/officeDocument/2006/docPropsVTypes"/>
</file>