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60" w:before="1000"/>
      </w:pPr>
      <w:r>
        <w:drawing>
          <wp:inline distT="0" distB="0" distL="0" distR="0">
            <wp:extent cx="990600" cy="990600"/>
            <wp:effectExtent t="0" r="0" b="0" l="0"/>
            <wp:docPr id="1" name="J. Lynne &amp; Co. logo" descr="The J. Lynne &amp; Co. mark: a stylised bull rendered in blue." title="J. Lynne &amp; Co.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Poppins" w:cs="Poppins" w:eastAsia="Poppins" w:hAnsi="Poppins"/>
          <w:b/>
          <w:bCs/>
          <w:color w:val="7F6619"/>
          <w:spacing w:val="60"/>
          <w:sz w:val="18"/>
          <w:szCs w:val="18"/>
        </w:rPr>
        <w:t xml:space="preserve">PRIVATE SECTOR EDITION</w:t>
      </w:r>
    </w:p>
    <w:p>
      <w:pPr>
        <w:pStyle w:val="Title"/>
        <w:spacing w:after="190"/>
      </w:pPr>
      <w:r>
        <w:rPr>
          <w:rFonts w:ascii="Poppins" w:cs="Poppins" w:eastAsia="Poppins" w:hAnsi="Poppins"/>
          <w:b/>
          <w:bCs/>
          <w:color w:val="14161A"/>
          <w:sz w:val="54"/>
          <w:szCs w:val="54"/>
        </w:rPr>
        <w:t xml:space="preserve">Governance</w:t>
      </w:r>
    </w:p>
    <w:p>
      <w:pPr>
        <w:spacing w:after="190"/>
      </w:pPr>
      <w:r>
        <w:rPr>
          <w:rFonts w:ascii="Poppins" w:cs="Poppins" w:eastAsia="Poppins" w:hAnsi="Poppins"/>
          <w:b/>
          <w:bCs/>
          <w:color w:val="2552DE"/>
          <w:sz w:val="54"/>
          <w:szCs w:val="54"/>
        </w:rPr>
        <w:t xml:space="preserve">Readiness</w:t>
      </w:r>
    </w:p>
    <w:p>
      <w:pPr>
        <w:spacing w:after="190"/>
      </w:pPr>
      <w:r>
        <w:rPr>
          <w:rFonts w:ascii="Poppins" w:cs="Poppins" w:eastAsia="Poppins" w:hAnsi="Poppins"/>
          <w:b/>
          <w:bCs/>
          <w:color w:val="14161A"/>
          <w:sz w:val="54"/>
          <w:szCs w:val="54"/>
        </w:rPr>
        <w:t xml:space="preserve">Checklist</w:t>
      </w:r>
    </w:p>
    <w:p>
      <w:pPr>
        <w:pBdr>
          <w:bottom w:val="single" w:color="C9A227" w:sz="12"/>
        </w:pBdr>
        <w:spacing w:after="300" w:before="90"/>
      </w:pPr>
      <w:r>
        <w:rPr>
          <w:sz w:val="2"/>
          <w:szCs w:val="2"/>
        </w:rPr>
        <w:t xml:space="preserve"/>
      </w:r>
    </w:p>
    <w:p>
      <w:pPr>
        <w:spacing w:after="200" w:line="340"/>
      </w:pPr>
      <w:r>
        <w:rPr>
          <w:rFonts w:ascii="Inter" w:cs="Inter" w:eastAsia="Inter" w:hAnsi="Inter"/>
          <w:color w:val="4A4F58"/>
          <w:sz w:val="26"/>
          <w:szCs w:val="26"/>
        </w:rPr>
        <w:t xml:space="preserve">How your company makes, challenges, and records decisions — before any particular program is on the table.</w:t>
      </w:r>
    </w:p>
    <w:p>
      <w:pPr>
        <w:spacing w:after="60" w:before="1900"/>
      </w:pPr>
      <w:r>
        <w:rPr>
          <w:rFonts w:ascii="Poppins" w:cs="Poppins" w:eastAsia="Poppins" w:hAnsi="Poppins"/>
          <w:b/>
          <w:bCs/>
          <w:color w:val="14161A"/>
          <w:sz w:val="22"/>
          <w:szCs w:val="22"/>
        </w:rPr>
        <w:t xml:space="preserve">J. Lynne &amp; Co.</w:t>
      </w:r>
    </w:p>
    <w:p>
      <w:r>
        <w:rPr>
          <w:rFonts w:ascii="Inter" w:cs="Inter" w:eastAsia="Inter" w:hAnsi="Inter"/>
          <w:i/>
          <w:iCs/>
          <w:color w:val="4A4F58"/>
          <w:sz w:val="20"/>
          <w:szCs w:val="20"/>
        </w:rPr>
        <w:t xml:space="preserve">The patience to see it. The drive to move it.</w:t>
      </w:r>
    </w:p>
    <w:p>
      <w:r>
        <w:br w:type="page"/>
      </w:r>
    </w:p>
    <w:p>
      <w:pPr>
        <w:pStyle w:val="Heading2"/>
        <w:keepNext/>
        <w:pageBreakBefore/>
        <w:spacing w:after="130"/>
      </w:pPr>
      <w:r>
        <w:rPr>
          <w:rFonts w:ascii="Poppins" w:cs="Poppins" w:eastAsia="Poppins" w:hAnsi="Poppins"/>
          <w:b/>
          <w:bCs/>
          <w:color w:val="7F6619"/>
          <w:spacing w:val="60"/>
          <w:sz w:val="18"/>
          <w:szCs w:val="18"/>
        </w:rPr>
        <w:t xml:space="preserve">HOW TO USE THIS</w:t>
      </w:r>
    </w:p>
    <w:p>
      <w:pPr>
        <w:spacing w:after="150" w:line="288"/>
      </w:pPr>
      <w:r>
        <w:rPr>
          <w:rFonts w:ascii="Inter" w:cs="Inter" w:eastAsia="Inter" w:hAnsi="Inter"/>
          <w:color w:val="14161A"/>
          <w:sz w:val="22"/>
          <w:szCs w:val="22"/>
        </w:rPr>
        <w:t xml:space="preserve">Most governance checklists arrive attached to a project. This one does not. It asks how the company decides things generally, on an ordinary week.</w:t>
      </w:r>
    </w:p>
    <w:p>
      <w:pPr>
        <w:spacing w:after="150" w:line="288"/>
      </w:pPr>
      <w:r>
        <w:rPr>
          <w:rFonts w:ascii="Inter" w:cs="Inter" w:eastAsia="Inter" w:hAnsi="Inter"/>
          <w:color w:val="14161A"/>
          <w:sz w:val="22"/>
          <w:szCs w:val="22"/>
        </w:rPr>
        <w:t xml:space="preserve">That is worth knowing separately, because whatever habits an organization already has are the habits a large program inherits. The four sections cover what oversight can see, how decisions get made, what the record holds, and whether there is capacity to take on more.</w:t>
      </w:r>
    </w:p>
    <w:p>
      <w:pPr>
        <w:spacing w:after="150" w:line="288"/>
      </w:pPr>
      <w:r>
        <w:rPr>
          <w:rFonts w:ascii="Inter" w:cs="Inter" w:eastAsia="Inter" w:hAnsi="Inter"/>
          <w:color w:val="14161A"/>
          <w:sz w:val="22"/>
          <w:szCs w:val="22"/>
        </w:rPr>
        <w:t xml:space="preserve">Mark each statement Yes, No, or Not sure, answering for the organization rather than for yourself.</w:t>
      </w:r>
    </w:p>
    <w:p>
      <w:pPr>
        <w:spacing w:after="140" w:before="220"/>
      </w:pPr>
    </w:p>
    <w:p>
      <w:pPr>
        <w:keepNext/>
        <w:keepLines/>
        <w:pBdr>
          <w:left w:val="single" w:color="C9A227" w:sz="18" w:space="10"/>
        </w:pBdr>
        <w:shd w:fill="E9EBF0" w:color="auto" w:val="clear"/>
        <w:spacing w:after="0" w:before="0" w:line="200"/>
        <w:ind w:left="220" w:right="200"/>
      </w:pPr>
      <w:r>
        <w:rPr>
          <w:sz w:val="8"/>
          <w:szCs w:val="8"/>
        </w:rPr>
        <w:t xml:space="preserve"/>
      </w:r>
    </w:p>
    <w:p>
      <w:pPr>
        <w:pStyle w:val="Heading3"/>
        <w:keepNext/>
        <w:pBdr>
          <w:left w:val="single" w:color="C9A227" w:sz="18" w:space="10"/>
        </w:pBdr>
        <w:shd w:fill="E9EBF0" w:color="auto" w:val="clear"/>
        <w:spacing w:after="90" w:before="0" w:line="288"/>
        <w:ind w:left="220" w:right="200"/>
      </w:pPr>
      <w:r>
        <w:rPr>
          <w:rFonts w:ascii="Poppins" w:cs="Poppins" w:eastAsia="Poppins" w:hAnsi="Poppins"/>
          <w:b/>
          <w:bCs/>
          <w:color w:val="2552DE"/>
          <w:sz w:val="21"/>
          <w:szCs w:val="21"/>
        </w:rPr>
        <w:t xml:space="preserve">About the three columns</w:t>
      </w:r>
    </w:p>
    <w:p>
      <w:pPr>
        <w:keepNext/>
        <w:keepLines/>
        <w:pBdr>
          <w:left w:val="single" w:color="C9A227" w:sz="18" w:space="10"/>
        </w:pBdr>
        <w:shd w:fill="E9EBF0" w:color="auto" w:val="clear"/>
        <w:spacing w:after="10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A No marks something known and not yet done. A Not sure marks something believed but not tested.</w:t>
      </w:r>
    </w:p>
    <w:p>
      <w:pPr>
        <w:keepNext/>
        <w:keepLines/>
        <w:pBdr>
          <w:left w:val="single" w:color="C9A227" w:sz="18" w:space="10"/>
        </w:pBdr>
        <w:shd w:fill="E9EBF0" w:color="auto" w:val="clear"/>
        <w:spacing w:after="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They lead to different next steps. A No can be assigned to someone. A Not sure usually needs someone to go and check first.</w:t>
      </w:r>
    </w:p>
    <w:p>
      <w:pPr>
        <w:keepLines/>
        <w:pBdr>
          <w:left w:val="single" w:color="C9A227" w:sz="18" w:space="10"/>
        </w:pBdr>
        <w:shd w:fill="E9EBF0" w:color="auto" w:val="clear"/>
        <w:spacing w:after="0" w:before="0" w:line="200"/>
        <w:ind w:left="220" w:right="200"/>
      </w:pPr>
      <w:r>
        <w:rPr>
          <w:sz w:val="8"/>
          <w:szCs w:val="8"/>
        </w:rPr>
        <w:t xml:space="preserve"/>
      </w:r>
    </w:p>
    <w:p>
      <w:pPr>
        <w:keepNext/>
        <w:keepLines/>
        <w:pageBreakBefore/>
        <w:shd w:fill="2552DE" w:color="auto" w:val="clear"/>
        <w:spacing w:after="0" w:before="0" w:line="80"/>
        <w:ind w:left="0" w:right="0"/>
      </w:pPr>
      <w:r>
        <w:rPr>
          <w:sz w:val="10"/>
          <w:szCs w:val="10"/>
        </w:rPr>
        <w:t xml:space="preserve"/>
      </w:r>
    </w:p>
    <w:p>
      <w:pPr>
        <w:keepNext/>
        <w:keepLines/>
        <w:shd w:fill="2552DE" w:color="auto" w:val="clear"/>
        <w:spacing w:after="0" w:before="0" w:line="300"/>
        <w:ind w:left="0" w:right="0"/>
        <w:jc w:val="center"/>
      </w:pP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01   </w:t>
      </w: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OVERSIGHT</w:t>
      </w:r>
    </w:p>
    <w:p>
      <w:pPr>
        <w:pStyle w:val="Heading1"/>
        <w:keepNext/>
        <w:keepLines/>
        <w:shd w:fill="2552DE" w:color="auto" w:val="clear"/>
        <w:spacing w:after="0" w:before="0" w:line="400"/>
        <w:ind w:left="0" w:right="0"/>
        <w:jc w:val="center"/>
      </w:pPr>
      <w:r>
        <w:rPr>
          <w:rFonts w:ascii="Poppins" w:cs="Poppins" w:eastAsia="Poppins" w:hAnsi="Poppins"/>
          <w:b/>
          <w:bCs/>
          <w:color w:val="FFFFFF"/>
          <w:sz w:val="28"/>
          <w:szCs w:val="28"/>
        </w:rPr>
        <w:t xml:space="preserve">What the board can see</w:t>
      </w:r>
    </w:p>
    <w:p>
      <w:pPr>
        <w:keepNext/>
        <w:keepLines/>
        <w:shd w:fill="2552DE" w:color="auto" w:val="clear"/>
        <w:spacing w:after="0" w:before="0" w:line="175"/>
        <w:ind w:left="0" w:right="0"/>
      </w:pPr>
      <w:r>
        <w:rPr>
          <w:sz w:val="10"/>
          <w:szCs w:val="10"/>
        </w:rPr>
        <w:t xml:space="preserve"/>
      </w:r>
    </w:p>
    <w:p>
      <w:pPr>
        <w:spacing w:after="14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80"/>
        <w:gridCol w:w="1360"/>
        <w:gridCol w:w="1360"/>
        <w:gridCol w:w="1360"/>
      </w:tblGrid>
      <w:tr>
        <w:trPr>
          <w:tblHeader/>
        </w:trPr>
        <w:tc>
          <w:tcPr>
            <w:tcW w:type="dxa" w:w="528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STATEMENT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NOT SURE</w:t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The board knows which technology decisions need its approval and which do not.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Technology risk reaches the board on a schedule, not only when something has gone wrong.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The audit committee can raise a concern to the board without routing it through management.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The board gets at least one independent view of major technology work each year.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Directors receive enough plain-language context to ask good questions without technical training.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The board reviews how vendors are performing, not only what they cost.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New directors are briefed on the commitments we have already made.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keepNext/>
        <w:keepLines/>
        <w:pageBreakBefore/>
        <w:shd w:fill="2552DE" w:color="auto" w:val="clear"/>
        <w:spacing w:after="0" w:before="0" w:line="80"/>
        <w:ind w:left="0" w:right="0"/>
      </w:pPr>
      <w:r>
        <w:rPr>
          <w:sz w:val="10"/>
          <w:szCs w:val="10"/>
        </w:rPr>
        <w:t xml:space="preserve"/>
      </w:r>
    </w:p>
    <w:p>
      <w:pPr>
        <w:keepNext/>
        <w:keepLines/>
        <w:shd w:fill="2552DE" w:color="auto" w:val="clear"/>
        <w:spacing w:after="0" w:before="0" w:line="300"/>
        <w:ind w:left="0" w:right="0"/>
        <w:jc w:val="center"/>
      </w:pP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02   </w:t>
      </w: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MANAGEMENT</w:t>
      </w:r>
    </w:p>
    <w:p>
      <w:pPr>
        <w:pStyle w:val="Heading1"/>
        <w:keepNext/>
        <w:keepLines/>
        <w:shd w:fill="2552DE" w:color="auto" w:val="clear"/>
        <w:spacing w:after="0" w:before="0" w:line="400"/>
        <w:ind w:left="0" w:right="0"/>
        <w:jc w:val="center"/>
      </w:pPr>
      <w:r>
        <w:rPr>
          <w:rFonts w:ascii="Poppins" w:cs="Poppins" w:eastAsia="Poppins" w:hAnsi="Poppins"/>
          <w:b/>
          <w:bCs/>
          <w:color w:val="FFFFFF"/>
          <w:sz w:val="28"/>
          <w:szCs w:val="28"/>
        </w:rPr>
        <w:t xml:space="preserve">How decisions get made</w:t>
      </w:r>
    </w:p>
    <w:p>
      <w:pPr>
        <w:keepNext/>
        <w:keepLines/>
        <w:shd w:fill="2552DE" w:color="auto" w:val="clear"/>
        <w:spacing w:after="0" w:before="0" w:line="175"/>
        <w:ind w:left="0" w:right="0"/>
      </w:pPr>
      <w:r>
        <w:rPr>
          <w:sz w:val="10"/>
          <w:szCs w:val="10"/>
        </w:rPr>
        <w:t xml:space="preserve"/>
      </w:r>
    </w:p>
    <w:p>
      <w:pPr>
        <w:spacing w:after="14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80"/>
        <w:gridCol w:w="1360"/>
        <w:gridCol w:w="1360"/>
        <w:gridCol w:w="1360"/>
      </w:tblGrid>
      <w:tr>
        <w:trPr>
          <w:tblHeader/>
        </w:trPr>
        <w:tc>
          <w:tcPr>
            <w:tcW w:type="dxa" w:w="528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STATEMENT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NOT SURE</w:t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Every core system has a named owner in the business who answers for how it performs.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know roughly how long a significant decision takes here, from first raised to settled.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Staff have a route to raise a concern that does not depend on their own manager.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know which decisions we have handed to vendors, whether or not we meant to.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Someone compares what we spend on technology against what we actually use.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There is a standing forum where operational and business staff set priorities together.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know what we would do if the person who understands a key system left tomorrow.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keepNext/>
        <w:keepLines/>
        <w:pageBreakBefore/>
        <w:shd w:fill="2552DE" w:color="auto" w:val="clear"/>
        <w:spacing w:after="0" w:before="0" w:line="80"/>
        <w:ind w:left="0" w:right="0"/>
      </w:pPr>
      <w:r>
        <w:rPr>
          <w:sz w:val="10"/>
          <w:szCs w:val="10"/>
        </w:rPr>
        <w:t xml:space="preserve"/>
      </w:r>
    </w:p>
    <w:p>
      <w:pPr>
        <w:keepNext/>
        <w:keepLines/>
        <w:shd w:fill="2552DE" w:color="auto" w:val="clear"/>
        <w:spacing w:after="0" w:before="0" w:line="300"/>
        <w:ind w:left="0" w:right="0"/>
        <w:jc w:val="center"/>
      </w:pP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03   </w:t>
      </w: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THE RECORD</w:t>
      </w:r>
    </w:p>
    <w:p>
      <w:pPr>
        <w:pStyle w:val="Heading1"/>
        <w:keepNext/>
        <w:keepLines/>
        <w:shd w:fill="2552DE" w:color="auto" w:val="clear"/>
        <w:spacing w:after="0" w:before="0" w:line="400"/>
        <w:ind w:left="0" w:right="0"/>
        <w:jc w:val="center"/>
      </w:pPr>
      <w:r>
        <w:rPr>
          <w:rFonts w:ascii="Poppins" w:cs="Poppins" w:eastAsia="Poppins" w:hAnsi="Poppins"/>
          <w:b/>
          <w:bCs/>
          <w:color w:val="FFFFFF"/>
          <w:sz w:val="28"/>
          <w:szCs w:val="28"/>
        </w:rPr>
        <w:t xml:space="preserve">What is written down</w:t>
      </w:r>
    </w:p>
    <w:p>
      <w:pPr>
        <w:keepNext/>
        <w:keepLines/>
        <w:shd w:fill="2552DE" w:color="auto" w:val="clear"/>
        <w:spacing w:after="0" w:before="0" w:line="175"/>
        <w:ind w:left="0" w:right="0"/>
      </w:pPr>
      <w:r>
        <w:rPr>
          <w:sz w:val="10"/>
          <w:szCs w:val="10"/>
        </w:rPr>
        <w:t xml:space="preserve"/>
      </w:r>
    </w:p>
    <w:p>
      <w:pPr>
        <w:spacing w:after="14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80"/>
        <w:gridCol w:w="1360"/>
        <w:gridCol w:w="1360"/>
        <w:gridCol w:w="1360"/>
      </w:tblGrid>
      <w:tr>
        <w:trPr>
          <w:tblHeader/>
        </w:trPr>
        <w:tc>
          <w:tcPr>
            <w:tcW w:type="dxa" w:w="528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STATEMENT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NOT SURE</w:t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Decisions are recorded with the reasoning, not only the outcome.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Our policies describe what we actually do, not what we intended when they were written.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could walk an auditor through how one specific decision was made, from start to finish.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Vendor contracts and review files are current and easy to find.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Access reviews, change approvals, and exceptions are written down as they happen.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Board and committee minutes record the questions asked, not only the motions carried.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At least once a year, someone checks whether the records match what really happens.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keepNext/>
        <w:keepLines/>
        <w:pageBreakBefore/>
        <w:shd w:fill="2552DE" w:color="auto" w:val="clear"/>
        <w:spacing w:after="0" w:before="0" w:line="80"/>
        <w:ind w:left="0" w:right="0"/>
      </w:pPr>
      <w:r>
        <w:rPr>
          <w:sz w:val="10"/>
          <w:szCs w:val="10"/>
        </w:rPr>
        <w:t xml:space="preserve"/>
      </w:r>
    </w:p>
    <w:p>
      <w:pPr>
        <w:keepNext/>
        <w:keepLines/>
        <w:shd w:fill="2552DE" w:color="auto" w:val="clear"/>
        <w:spacing w:after="0" w:before="0" w:line="300"/>
        <w:ind w:left="0" w:right="0"/>
        <w:jc w:val="center"/>
      </w:pP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04   </w:t>
      </w: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CAPACITY</w:t>
      </w:r>
    </w:p>
    <w:p>
      <w:pPr>
        <w:pStyle w:val="Heading1"/>
        <w:keepNext/>
        <w:keepLines/>
        <w:shd w:fill="2552DE" w:color="auto" w:val="clear"/>
        <w:spacing w:after="0" w:before="0" w:line="400"/>
        <w:ind w:left="0" w:right="0"/>
        <w:jc w:val="center"/>
      </w:pPr>
      <w:r>
        <w:rPr>
          <w:rFonts w:ascii="Poppins" w:cs="Poppins" w:eastAsia="Poppins" w:hAnsi="Poppins"/>
          <w:b/>
          <w:bCs/>
          <w:color w:val="FFFFFF"/>
          <w:sz w:val="28"/>
          <w:szCs w:val="28"/>
        </w:rPr>
        <w:t xml:space="preserve">What we can take on</w:t>
      </w:r>
    </w:p>
    <w:p>
      <w:pPr>
        <w:keepNext/>
        <w:keepLines/>
        <w:shd w:fill="2552DE" w:color="auto" w:val="clear"/>
        <w:spacing w:after="0" w:before="0" w:line="175"/>
        <w:ind w:left="0" w:right="0"/>
      </w:pPr>
      <w:r>
        <w:rPr>
          <w:sz w:val="10"/>
          <w:szCs w:val="10"/>
        </w:rPr>
        <w:t xml:space="preserve"/>
      </w:r>
    </w:p>
    <w:p>
      <w:pPr>
        <w:spacing w:after="14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80"/>
        <w:gridCol w:w="1360"/>
        <w:gridCol w:w="1360"/>
        <w:gridCol w:w="1360"/>
      </w:tblGrid>
      <w:tr>
        <w:trPr>
          <w:tblHeader/>
        </w:trPr>
        <w:tc>
          <w:tcPr>
            <w:tcW w:type="dxa" w:w="528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STATEMENT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NOT SURE</w:t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know how much change this company can absorb in a year, and we plan inside that limit.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Staff who own systems have time set aside to own them, not only to use them.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can say what we expected from our last major system, and whether we got it.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Someone here can read a technology contract for what it obliges us to do.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know which systems we depend on most, and what happens to customers if one fails.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revisit priorities on a regular schedule rather than once a year.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know who would lead a major program if we started one this year.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pageBreakBefore/>
        <w:spacing w:after="130"/>
      </w:pPr>
      <w:r>
        <w:rPr>
          <w:rFonts w:ascii="Poppins" w:cs="Poppins" w:eastAsia="Poppins" w:hAnsi="Poppins"/>
          <w:b/>
          <w:bCs/>
          <w:color w:val="7F6619"/>
          <w:spacing w:val="60"/>
          <w:sz w:val="18"/>
          <w:szCs w:val="18"/>
        </w:rPr>
        <w:t xml:space="preserve">READING YOUR ANSWERS</w:t>
      </w:r>
    </w:p>
    <w:p>
      <w:pPr>
        <w:spacing w:after="150" w:line="288"/>
      </w:pPr>
      <w:r>
        <w:rPr>
          <w:rFonts w:ascii="Inter" w:cs="Inter" w:eastAsia="Inter" w:hAnsi="Inter"/>
          <w:color w:val="14161A"/>
          <w:sz w:val="22"/>
          <w:szCs w:val="22"/>
        </w:rPr>
        <w:t xml:space="preserve">Count the No and Not sure answers together, out of 28.</w:t>
      </w:r>
    </w:p>
    <w:p>
      <w:pPr>
        <w:spacing w:after="14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OPEN ITEMS</w:t>
            </w:r>
          </w:p>
        </w:tc>
        <w:tc>
          <w:tcPr>
            <w:tcW w:type="dxa" w:w="78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WHAT THAT USUALLY MEANS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shd w:fill="E9EBF0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2552DE"/>
                <w:sz w:val="22"/>
                <w:szCs w:val="22"/>
              </w:rPr>
              <w:t xml:space="preserve">0–4</w:t>
            </w:r>
          </w:p>
        </w:tc>
        <w:tc>
          <w:tcPr>
            <w:tcW w:type="dxa" w:w="786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40"/>
              <w:left w:type="dxa" w:w="160"/>
              <w:bottom w:type="dxa" w:w="140"/>
              <w:right w:type="dxa" w:w="150"/>
            </w:tcMar>
          </w:tcPr>
          <w:p>
            <w:pPr>
              <w:spacing w:after="50"/>
            </w:pPr>
            <w:r>
              <w:rPr>
                <w:rFonts w:ascii="Poppins" w:cs="Poppins" w:eastAsia="Poppins" w:hAnsi="Poppins"/>
                <w:b/>
                <w:bCs/>
                <w:color w:val="14161A"/>
                <w:sz w:val="20"/>
                <w:szCs w:val="20"/>
              </w:rPr>
              <w:t xml:space="preserve">Few open items</w:t>
            </w:r>
          </w:p>
          <w:p>
            <w:pPr>
              <w:spacing w:line="276"/>
            </w:pPr>
            <w:r>
              <w:rPr>
                <w:rFonts w:ascii="Inter" w:cs="Inter" w:eastAsia="Inter" w:hAnsi="Inter"/>
                <w:color w:val="4A4F58"/>
                <w:sz w:val="20"/>
                <w:szCs w:val="20"/>
              </w:rPr>
              <w:t xml:space="preserve">Most of what this covers is settled. A large program would be starting from a stable base.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shd w:fill="E9EBF0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2552DE"/>
                <w:sz w:val="22"/>
                <w:szCs w:val="22"/>
              </w:rPr>
              <w:t xml:space="preserve">5–11</w:t>
            </w:r>
          </w:p>
        </w:tc>
        <w:tc>
          <w:tcPr>
            <w:tcW w:type="dxa" w:w="786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40"/>
              <w:left w:type="dxa" w:w="160"/>
              <w:bottom w:type="dxa" w:w="140"/>
              <w:right w:type="dxa" w:w="150"/>
            </w:tcMar>
          </w:tcPr>
          <w:p>
            <w:pPr>
              <w:spacing w:after="50"/>
            </w:pPr>
            <w:r>
              <w:rPr>
                <w:rFonts w:ascii="Poppins" w:cs="Poppins" w:eastAsia="Poppins" w:hAnsi="Poppins"/>
                <w:b/>
                <w:bCs/>
                <w:color w:val="14161A"/>
                <w:sz w:val="20"/>
                <w:szCs w:val="20"/>
              </w:rPr>
              <w:t xml:space="preserve">A common range</w:t>
            </w:r>
          </w:p>
          <w:p>
            <w:pPr>
              <w:spacing w:line="276"/>
            </w:pPr>
            <w:r>
              <w:rPr>
                <w:rFonts w:ascii="Inter" w:cs="Inter" w:eastAsia="Inter" w:hAnsi="Inter"/>
                <w:color w:val="4A4F58"/>
                <w:sz w:val="20"/>
                <w:szCs w:val="20"/>
              </w:rPr>
              <w:t xml:space="preserve">Ordinary for an organization of most sizes. These are usually addressed in the months before a large commitment.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shd w:fill="E9EBF0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2552DE"/>
                <w:sz w:val="22"/>
                <w:szCs w:val="22"/>
              </w:rPr>
              <w:t xml:space="preserve">12–19</w:t>
            </w:r>
          </w:p>
        </w:tc>
        <w:tc>
          <w:tcPr>
            <w:tcW w:type="dxa" w:w="786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40"/>
              <w:left w:type="dxa" w:w="160"/>
              <w:bottom w:type="dxa" w:w="140"/>
              <w:right w:type="dxa" w:w="150"/>
            </w:tcMar>
          </w:tcPr>
          <w:p>
            <w:pPr>
              <w:spacing w:after="50"/>
            </w:pPr>
            <w:r>
              <w:rPr>
                <w:rFonts w:ascii="Poppins" w:cs="Poppins" w:eastAsia="Poppins" w:hAnsi="Poppins"/>
                <w:b/>
                <w:bCs/>
                <w:color w:val="14161A"/>
                <w:sz w:val="20"/>
                <w:szCs w:val="20"/>
              </w:rPr>
              <w:t xml:space="preserve">A wide spread</w:t>
            </w:r>
          </w:p>
          <w:p>
            <w:pPr>
              <w:spacing w:line="276"/>
            </w:pPr>
            <w:r>
              <w:rPr>
                <w:rFonts w:ascii="Inter" w:cs="Inter" w:eastAsia="Inter" w:hAnsi="Inter"/>
                <w:color w:val="4A4F58"/>
                <w:sz w:val="20"/>
                <w:szCs w:val="20"/>
              </w:rPr>
              <w:t xml:space="preserve">Enough is open that a large program would surface these rather than resolve them. A period of preparation first is common at this level.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shd w:fill="E9EBF0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2552DE"/>
                <w:sz w:val="22"/>
                <w:szCs w:val="22"/>
              </w:rPr>
              <w:t xml:space="preserve">20+</w:t>
            </w:r>
          </w:p>
        </w:tc>
        <w:tc>
          <w:tcPr>
            <w:tcW w:type="dxa" w:w="786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40"/>
              <w:left w:type="dxa" w:w="160"/>
              <w:bottom w:type="dxa" w:w="140"/>
              <w:right w:type="dxa" w:w="150"/>
            </w:tcMar>
          </w:tcPr>
          <w:p>
            <w:pPr>
              <w:spacing w:after="50"/>
            </w:pPr>
            <w:r>
              <w:rPr>
                <w:rFonts w:ascii="Poppins" w:cs="Poppins" w:eastAsia="Poppins" w:hAnsi="Poppins"/>
                <w:b/>
                <w:bCs/>
                <w:color w:val="14161A"/>
                <w:sz w:val="20"/>
                <w:szCs w:val="20"/>
              </w:rPr>
              <w:t xml:space="preserve">Most items open</w:t>
            </w:r>
          </w:p>
          <w:p>
            <w:pPr>
              <w:spacing w:line="276"/>
            </w:pPr>
            <w:r>
              <w:rPr>
                <w:rFonts w:ascii="Inter" w:cs="Inter" w:eastAsia="Inter" w:hAnsi="Inter"/>
                <w:color w:val="4A4F58"/>
                <w:sz w:val="20"/>
                <w:szCs w:val="20"/>
              </w:rPr>
              <w:t xml:space="preserve">The majority has not been settled. Organizations here often find the governance work is the more valuable project for the moment.</w:t>
            </w:r>
          </w:p>
        </w:tc>
      </w:tr>
    </w:tbl>
    <w:p>
      <w:pPr>
        <w:spacing w:after="140" w:before="300"/>
      </w:pPr>
    </w:p>
    <w:p>
      <w:pPr>
        <w:keepNext/>
        <w:keepLines/>
        <w:pBdr>
          <w:left w:val="single" w:color="1B9E8E" w:sz="18" w:space="10"/>
        </w:pBdr>
        <w:shd w:fill="E9EBF0" w:color="auto" w:val="clear"/>
        <w:spacing w:after="0" w:before="0" w:line="200"/>
        <w:ind w:left="220" w:right="200"/>
      </w:pPr>
      <w:r>
        <w:rPr>
          <w:sz w:val="8"/>
          <w:szCs w:val="8"/>
        </w:rPr>
        <w:t xml:space="preserve"/>
      </w:r>
    </w:p>
    <w:p>
      <w:pPr>
        <w:pStyle w:val="Heading3"/>
        <w:keepNext/>
        <w:pBdr>
          <w:left w:val="single" w:color="1B9E8E" w:sz="18" w:space="10"/>
        </w:pBdr>
        <w:shd w:fill="E9EBF0" w:color="auto" w:val="clear"/>
        <w:spacing w:after="90" w:before="0" w:line="288"/>
        <w:ind w:left="220" w:right="200"/>
      </w:pPr>
      <w:r>
        <w:rPr>
          <w:rFonts w:ascii="Poppins" w:cs="Poppins" w:eastAsia="Poppins" w:hAnsi="Poppins"/>
          <w:b/>
          <w:bCs/>
          <w:color w:val="2552DE"/>
          <w:sz w:val="21"/>
          <w:szCs w:val="21"/>
        </w:rPr>
        <w:t xml:space="preserve">Where the answers cluster</w:t>
      </w:r>
    </w:p>
    <w:p>
      <w:pPr>
        <w:keepNext/>
        <w:keepLines/>
        <w:pBdr>
          <w:left w:val="single" w:color="1B9E8E" w:sz="18" w:space="10"/>
        </w:pBdr>
        <w:shd w:fill="E9EBF0" w:color="auto" w:val="clear"/>
        <w:spacing w:after="10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Section 01 points to what information reaches the board. Section 02 points to decision rights. Section 03 points to documentation — and a low score here often means an organization governs better than it can demonstrate. Section 04 points to capacity, which governance alone does not solve.</w:t>
      </w:r>
    </w:p>
    <w:p>
      <w:pPr>
        <w:keepNext/>
        <w:keepLines/>
        <w:pBdr>
          <w:left w:val="single" w:color="1B9E8E" w:sz="18" w:space="10"/>
        </w:pBdr>
        <w:shd w:fill="E9EBF0" w:color="auto" w:val="clear"/>
        <w:spacing w:after="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The four have different remedies, different costs, and different urgency.</w:t>
      </w:r>
    </w:p>
    <w:p>
      <w:pPr>
        <w:keepLines/>
        <w:pBdr>
          <w:left w:val="single" w:color="1B9E8E" w:sz="18" w:space="10"/>
        </w:pBdr>
        <w:shd w:fill="E9EBF0" w:color="auto" w:val="clear"/>
        <w:spacing w:after="0" w:before="0" w:line="200"/>
        <w:ind w:left="220" w:right="200"/>
      </w:pPr>
      <w:r>
        <w:rPr>
          <w:sz w:val="8"/>
          <w:szCs w:val="8"/>
        </w:rPr>
        <w:t xml:space="preserve"/>
      </w:r>
    </w:p>
    <w:p>
      <w:pPr>
        <w:pStyle w:val="Heading2"/>
        <w:keepNext/>
        <w:pageBreakBefore/>
        <w:spacing w:after="130"/>
      </w:pPr>
      <w:r>
        <w:rPr>
          <w:rFonts w:ascii="Poppins" w:cs="Poppins" w:eastAsia="Poppins" w:hAnsi="Poppins"/>
          <w:b/>
          <w:bCs/>
          <w:color w:val="7F6619"/>
          <w:spacing w:val="60"/>
          <w:sz w:val="18"/>
          <w:szCs w:val="18"/>
        </w:rPr>
        <w:t xml:space="preserve">ABOUT J. LYNNE &amp; CO.</w:t>
      </w:r>
    </w:p>
    <w:p>
      <w:pPr>
        <w:spacing w:after="300"/>
      </w:pPr>
      <w:r>
        <w:drawing>
          <wp:inline distT="0" distB="0" distL="0" distR="0">
            <wp:extent cx="723900" cy="723900"/>
            <wp:effectExtent t="0" r="0" b="0" l="0"/>
            <wp:docPr id="1" name="J. Lynne &amp; Co. logo" descr="The J. Lynne &amp; Co. mark: a stylised bull rendered in blue." title="J. Lynne &amp; Co.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line="288"/>
      </w:pPr>
      <w:r>
        <w:rPr>
          <w:rFonts w:ascii="Inter" w:cs="Inter" w:eastAsia="Inter" w:hAnsi="Inter"/>
          <w:color w:val="14161A"/>
          <w:sz w:val="22"/>
          <w:szCs w:val="22"/>
        </w:rPr>
        <w:t xml:space="preserve">J. Lynne &amp; Co. is an independent governance advisory firm working with organizations to lead major transformations with confidence. We take no vendor commissions and hold no reseller agreements.</w:t>
      </w:r>
    </w:p>
    <w:p>
      <w:pPr>
        <w:spacing w:after="150" w:line="288"/>
      </w:pPr>
      <w:r>
        <w:rPr>
          <w:rFonts w:ascii="Inter" w:cs="Inter" w:eastAsia="Inter" w:hAnsi="Inter"/>
          <w:color w:val="14161A"/>
          <w:sz w:val="22"/>
          <w:szCs w:val="22"/>
        </w:rPr>
        <w:t xml:space="preserve">We publish reference material of this kind for executives, boards, and program sponsors. If it is useful, you are welcome to adapt it for your own organization.</w:t>
      </w:r>
    </w:p>
    <w:p>
      <w:pPr>
        <w:spacing w:after="140" w:before="240"/>
      </w:pPr>
    </w:p>
    <w:p>
      <w:pPr>
        <w:keepNext/>
        <w:keepLines/>
        <w:pBdr>
          <w:left w:val="single" w:color="2552DE" w:sz="18" w:space="10"/>
        </w:pBdr>
        <w:shd w:fill="E9EBF0" w:color="auto" w:val="clear"/>
        <w:spacing w:after="0" w:before="0" w:line="200"/>
        <w:ind w:left="220" w:right="200"/>
      </w:pPr>
      <w:r>
        <w:rPr>
          <w:sz w:val="8"/>
          <w:szCs w:val="8"/>
        </w:rPr>
        <w:t xml:space="preserve"/>
      </w:r>
    </w:p>
    <w:p>
      <w:pPr>
        <w:pStyle w:val="Heading3"/>
        <w:keepNext/>
        <w:pBdr>
          <w:left w:val="single" w:color="2552DE" w:sz="18" w:space="10"/>
        </w:pBdr>
        <w:shd w:fill="E9EBF0" w:color="auto" w:val="clear"/>
        <w:spacing w:after="90" w:before="0" w:line="288"/>
        <w:ind w:left="220" w:right="200"/>
      </w:pPr>
      <w:r>
        <w:rPr>
          <w:rFonts w:ascii="Poppins" w:cs="Poppins" w:eastAsia="Poppins" w:hAnsi="Poppins"/>
          <w:b/>
          <w:bCs/>
          <w:color w:val="2552DE"/>
          <w:sz w:val="21"/>
          <w:szCs w:val="21"/>
        </w:rPr>
        <w:t xml:space="preserve">If you would like to talk</w:t>
      </w:r>
    </w:p>
    <w:p>
      <w:pPr>
        <w:keepNext/>
        <w:keepLines/>
        <w:pBdr>
          <w:left w:val="single" w:color="2552DE" w:sz="18" w:space="10"/>
        </w:pBdr>
        <w:shd w:fill="E9EBF0" w:color="auto" w:val="clear"/>
        <w:spacing w:after="10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We are happy to answer questions about anything on this list, or to talk through where to start.</w:t>
      </w:r>
    </w:p>
    <w:p>
      <w:pPr>
        <w:keepNext/>
        <w:keepLines/>
        <w:pBdr>
          <w:left w:val="single" w:color="2552DE" w:sz="18" w:space="10"/>
        </w:pBdr>
        <w:shd w:fill="E9EBF0" w:color="auto" w:val="clear"/>
        <w:spacing w:after="10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Website:  </w:t>
      </w:r>
      <w:hyperlink w:history="1" r:id="rIdbp8ux0bkt14m3b4k3ifz1">
        <w:r>
          <w:rPr>
            <w:rFonts w:ascii="Inter" w:cs="Inter" w:eastAsia="Inter" w:hAnsi="Inter"/>
            <w:color w:val="2552DE"/>
            <w:sz w:val="20"/>
            <w:szCs w:val="20"/>
            <w:u w:val="single" w:color="2552DE"/>
          </w:rPr>
          <w:t xml:space="preserve">jlynne.co</w:t>
        </w:r>
      </w:hyperlink>
    </w:p>
    <w:p>
      <w:pPr>
        <w:keepNext/>
        <w:keepLines/>
        <w:pBdr>
          <w:left w:val="single" w:color="2552DE" w:sz="18" w:space="10"/>
        </w:pBdr>
        <w:shd w:fill="E9EBF0" w:color="auto" w:val="clear"/>
        <w:spacing w:after="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Book a conversation:  </w:t>
      </w:r>
      <w:hyperlink w:history="1" r:id="rIdro1vb09hi7-pl5clt93gc">
        <w:r>
          <w:rPr>
            <w:rFonts w:ascii="Inter" w:cs="Inter" w:eastAsia="Inter" w:hAnsi="Inter"/>
            <w:color w:val="2552DE"/>
            <w:sz w:val="20"/>
            <w:szCs w:val="20"/>
            <w:u w:val="single" w:color="2552DE"/>
          </w:rPr>
          <w:t xml:space="preserve">jlynne.co/contact</w:t>
        </w:r>
      </w:hyperlink>
    </w:p>
    <w:p>
      <w:pPr>
        <w:keepLines/>
        <w:pBdr>
          <w:left w:val="single" w:color="2552DE" w:sz="18" w:space="10"/>
        </w:pBdr>
        <w:shd w:fill="E9EBF0" w:color="auto" w:val="clear"/>
        <w:spacing w:after="0" w:before="0" w:line="200"/>
        <w:ind w:left="220" w:right="200"/>
      </w:pPr>
      <w:r>
        <w:rPr>
          <w:sz w:val="8"/>
          <w:szCs w:val="8"/>
        </w:rPr>
        <w:t xml:space="preserve"/>
      </w:r>
    </w:p>
    <w:p>
      <w:pPr>
        <w:spacing w:before="700"/>
      </w:pPr>
    </w:p>
    <w:p>
      <w:pPr>
        <w:pBdr>
          <w:bottom w:val="single" w:color="E9EBF0" w:sz="6"/>
        </w:pBdr>
        <w:spacing w:after="160" w:before="0"/>
      </w:pPr>
      <w:r>
        <w:rPr>
          <w:sz w:val="2"/>
          <w:szCs w:val="2"/>
        </w:rPr>
        <w:t xml:space="preserve"/>
      </w:r>
    </w:p>
    <w:p>
      <w:pPr>
        <w:spacing w:after="90" w:line="264"/>
      </w:pPr>
      <w:r>
        <w:rPr>
          <w:rFonts w:ascii="Inter" w:cs="Inter" w:eastAsia="Inter" w:hAnsi="Inter"/>
          <w:color w:val="4A4F58"/>
          <w:sz w:val="18"/>
          <w:szCs w:val="18"/>
        </w:rPr>
        <w:t xml:space="preserve">This document is general reference material. It is not legal, accounting, or regulatory advice, and it is not a substitute for professional counsel on your organization’s circumstances.</w:t>
      </w:r>
    </w:p>
    <w:p>
      <w:pPr>
        <w:spacing w:after="90" w:line="264"/>
      </w:pPr>
      <w:r>
        <w:rPr>
          <w:rFonts w:ascii="Inter" w:cs="Inter" w:eastAsia="Inter" w:hAnsi="Inter"/>
          <w:color w:val="4A4F58"/>
          <w:sz w:val="18"/>
          <w:szCs w:val="18"/>
        </w:rPr>
        <w:t xml:space="preserve">© 2026 J. Lynne &amp; Co. All rights reserved.</w:t>
      </w:r>
    </w:p>
    <w:sectPr>
      <w:footerReference w:type="default" r:id="rId7"/>
      <w:pgSz w:w="12240" w:h="15840" w:orient="portrait"/>
      <w:pgMar w:top="1440" w:right="1440" w:bottom="11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E9EBF0" w:sz="6"/>
      </w:pBdr>
      <w:spacing w:after="80" w:before="0"/>
    </w:pPr>
    <w:r>
      <w:rPr>
        <w:sz w:val="2"/>
        <w:szCs w:val="2"/>
      </w:rPr>
      <w:t xml:space="preserve"/>
    </w:r>
  </w:p>
  <w:p>
    <w:pPr>
      <w:tabs>
        <w:tab w:val="right" w:pos="9360"/>
      </w:tabs>
    </w:pPr>
    <w:r>
      <w:rPr>
        <w:rFonts w:ascii="Inter" w:cs="Inter" w:eastAsia="Inter" w:hAnsi="Inter"/>
        <w:color w:val="4A4F58"/>
        <w:sz w:val="18"/>
        <w:szCs w:val="18"/>
      </w:rPr>
      <w:t xml:space="preserve">Governance Readiness Checklist</w:t>
    </w:r>
    <w:r>
      <w:rPr>
        <w:rFonts w:ascii="Inter" w:cs="Inter" w:eastAsia="Inter" w:hAnsi="Inter"/>
        <w:sz w:val="18"/>
        <w:szCs w:val="18"/>
      </w:rPr>
      <w:t xml:space="preserve">	</w:t>
    </w:r>
    <w:r>
      <w:rPr>
        <w:rFonts w:ascii="Inter" w:cs="Inter" w:eastAsia="Inter" w:hAnsi="Inter"/>
        <w:color w:val="4A4F58"/>
        <w:sz w:val="18"/>
        <w:szCs w:val="18"/>
      </w:rPr>
      <w:t xml:space="preserve">J. Lynne &amp; Co.</w:t>
    </w:r>
    <w:r>
      <w:rPr>
        <w:rFonts w:ascii="Inter" w:cs="Inter" w:eastAsia="Inter" w:hAnsi="Inter"/>
        <w:color w:val="7F6619"/>
        <w:sz w:val="18"/>
        <w:szCs w:val="18"/>
      </w:rPr>
      <w:t xml:space="preserve"> · </w:t>
    </w:r>
    <w:r>
      <w:rPr>
        <w:rFonts w:ascii="Inter" w:cs="Inter" w:eastAsia="Inter" w:hAnsi="Inter"/>
        <w:b/>
        <w:bCs/>
        <w:color w:val="4A4F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4161A"/>
        <w:sz w:val="22"/>
        <w:szCs w:val="22"/>
        <w:lang w:val="en-US"/>
      </w:rPr>
    </w:rPrDefault>
    <w:pPrDefault>
      <w:pPr>
        <w:widowControl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Poppins" w:cs="Poppins" w:eastAsia="Poppins" w:hAnsi="Poppins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Poppins" w:cs="Poppins" w:eastAsia="Poppins" w:hAnsi="Poppins"/>
      <w:b/>
      <w:bCs/>
      <w:color w:val="2552DE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Poppins" w:cs="Poppins" w:eastAsia="Poppins" w:hAnsi="Poppins"/>
      <w:b/>
      <w:bCs/>
      <w:color w:val="14161A"/>
      <w:sz w:val="21"/>
      <w:szCs w:val="21"/>
    </w:rPr>
  </w:style>
  <w:style w:type="paragraph" w:styleId="Title">
    <w:name w:val="Title"/>
    <w:basedOn w:val="Normal"/>
    <w:next w:val="Normal"/>
    <w:qFormat/>
    <w:rPr>
      <w:rFonts w:ascii="Poppins" w:cs="Poppins" w:eastAsia="Poppins" w:hAnsi="Poppins"/>
      <w:b/>
      <w:bCs/>
      <w:color w:val="14161A"/>
      <w:sz w:val="58"/>
      <w:szCs w:val="5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bp8ux0bkt14m3b4k3ifz1" Type="http://schemas.openxmlformats.org/officeDocument/2006/relationships/hyperlink" Target="https://jlynne.co" TargetMode="External"/><Relationship Id="rIdro1vb09hi7-pl5clt93gc" Type="http://schemas.openxmlformats.org/officeDocument/2006/relationships/hyperlink" Target="https://jlynne.co/contact" TargetMode="External"/><Relationship Id="rId8" Type="http://schemas.openxmlformats.org/officeDocument/2006/relationships/image" Target="media/fc988f3b224f6f78f894961ef07cbfa27978904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Governance Readiness Checklist — Private sector edition</dc:title>
  <dc:creator>J. Lynne &amp; Co.</dc:creator>
  <dc:description>A standing review of how a company makes, challenges, and records decisions, independent of any particular program.</dc:description>
  <cp:lastModifiedBy>Un-named</cp:lastModifiedBy>
  <cp:revision>1</cp:revision>
  <dcterms:created xsi:type="dcterms:W3CDTF">2026-07-31T14:47:08.909Z</dcterms:created>
  <dcterms:modified xsi:type="dcterms:W3CDTF">2026-07-31T14:47:08.909Z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