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60"/>
              <w:left w:type="dxa" w:w="360"/>
              <w:bottom w:type="dxa" w:w="360"/>
              <w:right w:type="dxa" w:w="360"/>
            </w:tcMar>
          </w:tcPr>
          <w:p>
            <w:pPr>
              <w:spacing w:before="0" w:after="80"/>
              <w:jc w:val="left"/>
            </w:pPr>
            <w:r>
              <w:rPr>
                <w:rFonts w:ascii="Arial" w:cs="Arial" w:eastAsia="Arial" w:hAnsi="Arial"/>
                <w:b/>
                <w:bCs/>
                <w:color w:val="F5A623"/>
                <w:sz w:val="48"/>
                <w:szCs w:val="48"/>
              </w:rPr>
              <w:t xml:space="preserve">LUMYNR</w:t>
            </w:r>
          </w:p>
          <w:p>
            <w:pPr>
              <w:spacing w:before="0" w:after="80"/>
              <w:jc w:val="left"/>
            </w:pPr>
            <w:r>
              <w:rPr>
                <w:rFonts w:ascii="Arial" w:cs="Arial" w:eastAsia="Arial" w:hAnsi="Arial"/>
                <w:color w:val="FFFFFF"/>
                <w:sz w:val="28"/>
                <w:szCs w:val="28"/>
              </w:rPr>
              <w:t xml:space="preserve">Membership Platform Architecture Decision Record</w:t>
            </w:r>
          </w:p>
          <w:p>
            <w:pPr>
              <w:spacing w:before="0" w:after="0"/>
              <w:jc w:val="left"/>
            </w:pPr>
            <w:r>
              <w:rPr>
                <w:rFonts w:ascii="Arial" w:cs="Arial" w:eastAsia="Arial" w:hAnsi="Arial"/>
                <w:color w:val="F5A623"/>
                <w:sz w:val="20"/>
                <w:szCs w:val="20"/>
              </w:rPr>
              <w:t xml:space="preserve">ADR-001: Global Membership, Payment Routing &amp; Entity Architecture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Document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ADR-001</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531A"/>
                <w:sz w:val="18"/>
                <w:szCs w:val="18"/>
              </w:rPr>
              <w:t xml:space="preserve">ACCEPTED</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March 2026</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Owner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Dr. Jerri Bland, Founder &amp; CEO — Powerhouse Industries</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Related Entities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UP and Running Tech LLC (U.S.) | Velorum Mauritius (International)</w:t>
            </w:r>
          </w:p>
        </w:tc>
      </w:tr>
    </w:tbl>
    <w:p>
      <w:pPr>
        <w:spacing w:before="40" w:after="0"/>
      </w:pPr>
      <w:r>
        <w:t xml:space="preserve"/>
      </w:r>
    </w:p>
    <w:p>
      <w:pPr>
        <w:pStyle w:val="Heading1"/>
        <w:pBdr>
          <w:bottom w:val="single" w:color="F5A623" w:sz="4" w:space="6"/>
        </w:pBdr>
        <w:spacing w:before="360" w:after="160"/>
      </w:pPr>
      <w:r>
        <w:rPr>
          <w:rFonts w:ascii="Arial" w:cs="Arial" w:eastAsia="Arial" w:hAnsi="Arial"/>
          <w:b/>
          <w:bCs/>
          <w:color w:val="1B2A4A"/>
          <w:sz w:val="28"/>
          <w:szCs w:val="28"/>
        </w:rPr>
        <w:t xml:space="preserve">1. Context &amp; Problem Statement</w:t>
      </w:r>
    </w:p>
    <w:p>
      <w:pPr>
        <w:spacing w:before="60" w:after="100"/>
      </w:pPr>
      <w:r>
        <w:rPr>
          <w:rFonts w:ascii="Arial" w:cs="Arial" w:eastAsia="Arial" w:hAnsi="Arial"/>
          <w:color w:val="333333"/>
          <w:sz w:val="20"/>
          <w:szCs w:val="20"/>
        </w:rPr>
        <w:t xml:space="preserve">Lumynr is a career community platform for women in IT with an explicit goal of global membership — including active recruitment in Nigeria, Africa broadly, and Brazil. The initial assumption was to operate entirely through a single Delaware LLC (Lumynr LLC) using Circle’s native checkout and payment infrastructure.</w:t>
      </w:r>
    </w:p>
    <w:p>
      <w:pPr>
        <w:spacing w:before="40" w:after="0"/>
      </w:pPr>
      <w:r>
        <w:t xml:space="preserve"/>
      </w:r>
    </w:p>
    <w:p>
      <w:pPr>
        <w:spacing w:before="60" w:after="100"/>
      </w:pPr>
      <w:r>
        <w:rPr>
          <w:rFonts w:ascii="Arial" w:cs="Arial" w:eastAsia="Arial" w:hAnsi="Arial"/>
          <w:color w:val="333333"/>
          <w:sz w:val="20"/>
          <w:szCs w:val="20"/>
        </w:rPr>
        <w:t xml:space="preserve">This assumption was challenged by four compounding constraints:</w:t>
      </w:r>
    </w:p>
    <w:p>
      <w:pPr>
        <w:pStyle w:val="ListParagraph"/>
        <w:numPr>
          <w:ilvl w:val="0"/>
          <w:numId w:val="2"/>
        </w:numPr>
        <w:spacing w:before="40" w:after="60"/>
      </w:pPr>
      <w:r>
        <w:rPr>
          <w:rFonts w:ascii="Arial" w:cs="Arial" w:eastAsia="Arial" w:hAnsi="Arial"/>
          <w:b w:val="false"/>
          <w:bCs w:val="false"/>
          <w:color w:val="333333"/>
          <w:sz w:val="20"/>
          <w:szCs w:val="20"/>
        </w:rPr>
        <w:t xml:space="preserve">Circle’s native checkout binds all payment to a single Stripe account connected to a single legal entity, preventing entity routing by member geography</w:t>
      </w:r>
    </w:p>
    <w:p>
      <w:pPr>
        <w:pStyle w:val="ListParagraph"/>
        <w:numPr>
          <w:ilvl w:val="0"/>
          <w:numId w:val="2"/>
        </w:numPr>
        <w:spacing w:before="40" w:after="60"/>
      </w:pPr>
      <w:r>
        <w:rPr>
          <w:rFonts w:ascii="Arial" w:cs="Arial" w:eastAsia="Arial" w:hAnsi="Arial"/>
          <w:b w:val="false"/>
          <w:bCs w:val="false"/>
          <w:color w:val="333333"/>
          <w:sz w:val="20"/>
          <w:szCs w:val="20"/>
        </w:rPr>
        <w:t xml:space="preserve">International payment rails (Paystack, Flutterwave) required by Nigerian and African members are not supported through Circle’s native checkout</w:t>
      </w:r>
    </w:p>
    <w:p>
      <w:pPr>
        <w:pStyle w:val="ListParagraph"/>
        <w:numPr>
          <w:ilvl w:val="0"/>
          <w:numId w:val="2"/>
        </w:numPr>
        <w:spacing w:before="40" w:after="60"/>
      </w:pPr>
      <w:r>
        <w:rPr>
          <w:rFonts w:ascii="Arial" w:cs="Arial" w:eastAsia="Arial" w:hAnsi="Arial"/>
          <w:b w:val="false"/>
          <w:bCs w:val="false"/>
          <w:color w:val="333333"/>
          <w:sz w:val="20"/>
          <w:szCs w:val="20"/>
        </w:rPr>
        <w:t xml:space="preserve">Funneling all global revenue through a U.S. Delaware LLC eliminates any tax efficiency benefit from international members and creates unnecessary U.S. tax exposure</w:t>
      </w:r>
    </w:p>
    <w:p>
      <w:pPr>
        <w:pStyle w:val="ListParagraph"/>
        <w:numPr>
          <w:ilvl w:val="0"/>
          <w:numId w:val="2"/>
        </w:numPr>
        <w:spacing w:before="40" w:after="60"/>
      </w:pPr>
      <w:r>
        <w:rPr>
          <w:rFonts w:ascii="Arial" w:cs="Arial" w:eastAsia="Arial" w:hAnsi="Arial"/>
          <w:b w:val="false"/>
          <w:bCs w:val="false"/>
          <w:color w:val="333333"/>
          <w:sz w:val="20"/>
          <w:szCs w:val="20"/>
        </w:rPr>
        <w:t xml:space="preserve">Pricing flexibility by region (purchasing power parity for Nigeria and Brazil) is not possible through Circle’s tiered pricing model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C" w:val="clear"/>
            <w:tcMar>
              <w:top w:type="dxa" w:w="140"/>
              <w:left w:type="dxa" w:w="200"/>
              <w:bottom w:type="dxa" w:w="140"/>
              <w:right w:type="dxa" w:w="200"/>
            </w:tcMar>
          </w:tcPr>
          <w:p>
            <w:pPr>
              <w:spacing w:before="0" w:after="60"/>
            </w:pPr>
            <w:r>
              <w:rPr>
                <w:rFonts w:ascii="Arial" w:cs="Arial" w:eastAsia="Arial" w:hAnsi="Arial"/>
                <w:b/>
                <w:bCs/>
                <w:color w:val="C0531A"/>
                <w:sz w:val="20"/>
                <w:szCs w:val="20"/>
              </w:rPr>
              <w:t xml:space="preserve">Key Insight</w:t>
            </w:r>
          </w:p>
          <w:p>
            <w:pPr>
              <w:spacing w:before="0" w:after="0"/>
            </w:pPr>
            <w:r>
              <w:rPr>
                <w:rFonts w:ascii="Arial" w:cs="Arial" w:eastAsia="Arial" w:hAnsi="Arial"/>
                <w:color w:val="333333"/>
                <w:sz w:val="20"/>
                <w:szCs w:val="20"/>
              </w:rPr>
              <w:t xml:space="preserve">The existing Lumynr onboarding flow already includes a custom membership page outside Circle, controlled by Lumynr, which sits between the invite link and Circle’s community. This page is the intercept point that resolves all four constraints above.</w:t>
            </w:r>
          </w:p>
        </w:tc>
      </w:tr>
    </w:tbl>
    <w:p>
      <w:pPr>
        <w:spacing w:before="60" w:after="0"/>
      </w:pPr>
      <w:r>
        <w:t xml:space="preserve"/>
      </w:r>
    </w:p>
    <w:p>
      <w:pPr>
        <w:pStyle w:val="Heading1"/>
        <w:pBdr>
          <w:bottom w:val="single" w:color="F5A623" w:sz="4" w:space="6"/>
        </w:pBdr>
        <w:spacing w:before="360" w:after="160"/>
      </w:pPr>
      <w:r>
        <w:rPr>
          <w:rFonts w:ascii="Arial" w:cs="Arial" w:eastAsia="Arial" w:hAnsi="Arial"/>
          <w:b/>
          <w:bCs/>
          <w:color w:val="1B2A4A"/>
          <w:sz w:val="28"/>
          <w:szCs w:val="28"/>
        </w:rPr>
        <w:t xml:space="preserve">2. Architecture Decision</w:t>
      </w:r>
    </w:p>
    <w:p>
      <w:pPr>
        <w:spacing w:before="60" w:after="100"/>
      </w:pPr>
      <w:r>
        <w:rPr>
          <w:rFonts w:ascii="Arial" w:cs="Arial" w:eastAsia="Arial" w:hAnsi="Arial"/>
          <w:color w:val="333333"/>
          <w:sz w:val="20"/>
          <w:szCs w:val="20"/>
        </w:rPr>
        <w:t xml:space="preserve">Lumynr will adopt a hybrid architecture: Circle as the community layer only, with all membership management, checkout, entity routing, and payment processing handled by a custom-built membership layer outside Circle.</w:t>
      </w:r>
    </w:p>
    <w:p>
      <w:pPr>
        <w:spacing w:before="40" w:after="0"/>
      </w:pPr>
      <w:r>
        <w:t xml:space="preserve"/>
      </w:r>
    </w:p>
    <w:p>
      <w:pPr>
        <w:pStyle w:val="Heading2"/>
        <w:spacing w:before="280" w:after="120"/>
      </w:pPr>
      <w:r>
        <w:rPr>
          <w:rFonts w:ascii="Arial" w:cs="Arial" w:eastAsia="Arial" w:hAnsi="Arial"/>
          <w:b/>
          <w:bCs/>
          <w:color w:val="C0531A"/>
          <w:sz w:val="24"/>
          <w:szCs w:val="24"/>
        </w:rPr>
        <w:t xml:space="preserve">2.1 Platform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Circle</w:t>
            </w:r>
          </w:p>
        </w:tc>
        <w:tc>
          <w:tcPr>
            <w:tcW w:type="dxa" w:w="6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color w:val="333333"/>
                <w:sz w:val="18"/>
                <w:szCs w:val="18"/>
              </w:rPr>
              <w:t xml:space="preserve">Community experience only: discussion spaces, events, book club, mentoring sessions, member directory. No payment, no checkout, no member provisioning decisions.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Custom Membership Layer (Next.js / Supabase)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Authentication, membership tier management, checkout, entity routing, regional pricing, payment processing, Circle provisioning via API.</w:t>
            </w:r>
          </w:p>
        </w:tc>
      </w:tr>
      <w:tr>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Stripe (UP and Running Tech LLC)</w:t>
            </w:r>
          </w:p>
        </w:tc>
        <w:tc>
          <w:tcPr>
            <w:tcW w:type="dxa" w:w="6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color w:val="333333"/>
                <w:sz w:val="18"/>
                <w:szCs w:val="18"/>
              </w:rPr>
              <w:t xml:space="preserve">Payment processing for all U.S. members.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Paystack / Flutterwave (Velorum Mauritius)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Payment processing for Nigerian, African, and other international members.</w:t>
            </w:r>
          </w:p>
        </w:tc>
      </w:tr>
      <w:tr>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Circle API</w:t>
            </w:r>
          </w:p>
        </w:tc>
        <w:tc>
          <w:tcPr>
            <w:tcW w:type="dxa" w:w="6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color w:val="333333"/>
                <w:sz w:val="18"/>
                <w:szCs w:val="18"/>
              </w:rPr>
              <w:t xml:space="preserve">Receives provisioning instructions after payment confirmation. Adds member to correct tier. No payment involvement.</w:t>
            </w:r>
          </w:p>
        </w:tc>
      </w:tr>
    </w:tbl>
    <w:p>
      <w:pPr>
        <w:spacing w:before="60" w:after="0"/>
      </w:pPr>
      <w:r>
        <w:t xml:space="preserve"/>
      </w:r>
    </w:p>
    <w:p>
      <w:pPr>
        <w:pStyle w:val="Heading1"/>
        <w:pBdr>
          <w:bottom w:val="single" w:color="F5A623" w:sz="4" w:space="6"/>
        </w:pBdr>
        <w:spacing w:before="360" w:after="160"/>
      </w:pPr>
      <w:r>
        <w:rPr>
          <w:rFonts w:ascii="Arial" w:cs="Arial" w:eastAsia="Arial" w:hAnsi="Arial"/>
          <w:b/>
          <w:bCs/>
          <w:color w:val="1B2A4A"/>
          <w:sz w:val="28"/>
          <w:szCs w:val="28"/>
        </w:rPr>
        <w:t xml:space="preserve">3. Member Onboarding Flow</w:t>
      </w:r>
    </w:p>
    <w:p>
      <w:pPr>
        <w:pStyle w:val="Heading2"/>
        <w:spacing w:before="280" w:after="120"/>
      </w:pPr>
      <w:r>
        <w:rPr>
          <w:rFonts w:ascii="Arial" w:cs="Arial" w:eastAsia="Arial" w:hAnsi="Arial"/>
          <w:b/>
          <w:bCs/>
          <w:color w:val="C0531A"/>
          <w:sz w:val="24"/>
          <w:szCs w:val="24"/>
        </w:rPr>
        <w:t xml:space="preserve">3.1 U.S. Member Flow</w:t>
      </w:r>
    </w:p>
    <w:p>
      <w:pPr>
        <w:pStyle w:val="ListParagraph"/>
        <w:numPr>
          <w:ilvl w:val="0"/>
          <w:numId w:val="2"/>
        </w:numPr>
        <w:spacing w:before="40" w:after="60"/>
      </w:pPr>
      <w:r>
        <w:rPr>
          <w:rFonts w:ascii="Arial" w:cs="Arial" w:eastAsia="Arial" w:hAnsi="Arial"/>
          <w:b w:val="false"/>
          <w:bCs w:val="false"/>
          <w:color w:val="333333"/>
          <w:sz w:val="20"/>
          <w:szCs w:val="20"/>
        </w:rPr>
        <w:t xml:space="preserve">Member receives invite link</w:t>
      </w:r>
    </w:p>
    <w:p>
      <w:pPr>
        <w:pStyle w:val="ListParagraph"/>
        <w:numPr>
          <w:ilvl w:val="0"/>
          <w:numId w:val="2"/>
        </w:numPr>
        <w:spacing w:before="40" w:after="60"/>
      </w:pPr>
      <w:r>
        <w:rPr>
          <w:rFonts w:ascii="Arial" w:cs="Arial" w:eastAsia="Arial" w:hAnsi="Arial"/>
          <w:b w:val="false"/>
          <w:bCs w:val="false"/>
          <w:color w:val="333333"/>
          <w:sz w:val="20"/>
          <w:szCs w:val="20"/>
        </w:rPr>
        <w:t xml:space="preserve">Invite link routes to custom Lumynr membership page</w:t>
      </w:r>
    </w:p>
    <w:p>
      <w:pPr>
        <w:pStyle w:val="ListParagraph"/>
        <w:numPr>
          <w:ilvl w:val="0"/>
          <w:numId w:val="2"/>
        </w:numPr>
        <w:spacing w:before="40" w:after="60"/>
      </w:pPr>
      <w:r>
        <w:rPr>
          <w:rFonts w:ascii="Arial" w:cs="Arial" w:eastAsia="Arial" w:hAnsi="Arial"/>
          <w:b w:val="false"/>
          <w:bCs w:val="false"/>
          <w:color w:val="333333"/>
          <w:sz w:val="20"/>
          <w:szCs w:val="20"/>
        </w:rPr>
        <w:t xml:space="preserve">Page detects geography via IP geolocation; profile data confirms</w:t>
      </w:r>
    </w:p>
    <w:p>
      <w:pPr>
        <w:pStyle w:val="ListParagraph"/>
        <w:numPr>
          <w:ilvl w:val="0"/>
          <w:numId w:val="2"/>
        </w:numPr>
        <w:spacing w:before="40" w:after="60"/>
      </w:pPr>
      <w:r>
        <w:rPr>
          <w:rFonts w:ascii="Arial" w:cs="Arial" w:eastAsia="Arial" w:hAnsi="Arial"/>
          <w:b w:val="false"/>
          <w:bCs w:val="false"/>
          <w:color w:val="333333"/>
          <w:sz w:val="20"/>
          <w:szCs w:val="20"/>
        </w:rPr>
        <w:t xml:space="preserve">U.S. detected → Stripe checkout presented (UP and Running Tech LLC as merchant)</w:t>
      </w:r>
    </w:p>
    <w:p>
      <w:pPr>
        <w:pStyle w:val="ListParagraph"/>
        <w:numPr>
          <w:ilvl w:val="0"/>
          <w:numId w:val="2"/>
        </w:numPr>
        <w:spacing w:before="40" w:after="60"/>
      </w:pPr>
      <w:r>
        <w:rPr>
          <w:rFonts w:ascii="Arial" w:cs="Arial" w:eastAsia="Arial" w:hAnsi="Arial"/>
          <w:b w:val="false"/>
          <w:bCs w:val="false"/>
          <w:color w:val="333333"/>
          <w:sz w:val="20"/>
          <w:szCs w:val="20"/>
        </w:rPr>
        <w:t xml:space="preserve">30-day free trial initiated; card captured but not charged</w:t>
      </w:r>
    </w:p>
    <w:p>
      <w:pPr>
        <w:pStyle w:val="ListParagraph"/>
        <w:numPr>
          <w:ilvl w:val="0"/>
          <w:numId w:val="2"/>
        </w:numPr>
        <w:spacing w:before="40" w:after="60"/>
      </w:pPr>
      <w:r>
        <w:rPr>
          <w:rFonts w:ascii="Arial" w:cs="Arial" w:eastAsia="Arial" w:hAnsi="Arial"/>
          <w:b w:val="false"/>
          <w:bCs w:val="false"/>
          <w:color w:val="333333"/>
          <w:sz w:val="20"/>
          <w:szCs w:val="20"/>
        </w:rPr>
        <w:t xml:space="preserve">At day 30: Stripe charges card automatically</w:t>
      </w:r>
    </w:p>
    <w:p>
      <w:pPr>
        <w:pStyle w:val="ListParagraph"/>
        <w:numPr>
          <w:ilvl w:val="0"/>
          <w:numId w:val="2"/>
        </w:numPr>
        <w:spacing w:before="40" w:after="60"/>
      </w:pPr>
      <w:r>
        <w:rPr>
          <w:rFonts w:ascii="Arial" w:cs="Arial" w:eastAsia="Arial" w:hAnsi="Arial"/>
          <w:b w:val="false"/>
          <w:bCs w:val="false"/>
          <w:color w:val="333333"/>
          <w:sz w:val="20"/>
          <w:szCs w:val="20"/>
        </w:rPr>
        <w:t xml:space="preserve">On trial initiation: Circle API called → member provisioned into correct tier</w:t>
      </w:r>
    </w:p>
    <w:p>
      <w:pPr>
        <w:pStyle w:val="ListParagraph"/>
        <w:numPr>
          <w:ilvl w:val="0"/>
          <w:numId w:val="2"/>
        </w:numPr>
        <w:spacing w:before="40" w:after="60"/>
      </w:pPr>
      <w:r>
        <w:rPr>
          <w:rFonts w:ascii="Arial" w:cs="Arial" w:eastAsia="Arial" w:hAnsi="Arial"/>
          <w:b w:val="false"/>
          <w:bCs w:val="false"/>
          <w:color w:val="333333"/>
          <w:sz w:val="20"/>
          <w:szCs w:val="20"/>
        </w:rPr>
        <w:t xml:space="preserve">Member accesses Circle community</w:t>
      </w:r>
    </w:p>
    <w:p>
      <w:pPr>
        <w:spacing w:before="40" w:after="0"/>
      </w:pPr>
      <w:r>
        <w:t xml:space="preserve"/>
      </w:r>
    </w:p>
    <w:p>
      <w:pPr>
        <w:pStyle w:val="Heading2"/>
        <w:spacing w:before="280" w:after="120"/>
      </w:pPr>
      <w:r>
        <w:rPr>
          <w:rFonts w:ascii="Arial" w:cs="Arial" w:eastAsia="Arial" w:hAnsi="Arial"/>
          <w:b/>
          <w:bCs/>
          <w:color w:val="C0531A"/>
          <w:sz w:val="24"/>
          <w:szCs w:val="24"/>
        </w:rPr>
        <w:t xml:space="preserve">3.2 International Member Flow (Nigeria / Africa / Brazil)</w:t>
      </w:r>
    </w:p>
    <w:p>
      <w:pPr>
        <w:pStyle w:val="ListParagraph"/>
        <w:numPr>
          <w:ilvl w:val="0"/>
          <w:numId w:val="2"/>
        </w:numPr>
        <w:spacing w:before="40" w:after="60"/>
      </w:pPr>
      <w:r>
        <w:rPr>
          <w:rFonts w:ascii="Arial" w:cs="Arial" w:eastAsia="Arial" w:hAnsi="Arial"/>
          <w:b w:val="false"/>
          <w:bCs w:val="false"/>
          <w:color w:val="333333"/>
          <w:sz w:val="20"/>
          <w:szCs w:val="20"/>
        </w:rPr>
        <w:t xml:space="preserve">Member receives invite link</w:t>
      </w:r>
    </w:p>
    <w:p>
      <w:pPr>
        <w:pStyle w:val="ListParagraph"/>
        <w:numPr>
          <w:ilvl w:val="0"/>
          <w:numId w:val="2"/>
        </w:numPr>
        <w:spacing w:before="40" w:after="60"/>
      </w:pPr>
      <w:r>
        <w:rPr>
          <w:rFonts w:ascii="Arial" w:cs="Arial" w:eastAsia="Arial" w:hAnsi="Arial"/>
          <w:b w:val="false"/>
          <w:bCs w:val="false"/>
          <w:color w:val="333333"/>
          <w:sz w:val="20"/>
          <w:szCs w:val="20"/>
        </w:rPr>
        <w:t xml:space="preserve">Invite link routes to custom Lumynr membership page</w:t>
      </w:r>
    </w:p>
    <w:p>
      <w:pPr>
        <w:pStyle w:val="ListParagraph"/>
        <w:numPr>
          <w:ilvl w:val="0"/>
          <w:numId w:val="2"/>
        </w:numPr>
        <w:spacing w:before="40" w:after="60"/>
      </w:pPr>
      <w:r>
        <w:rPr>
          <w:rFonts w:ascii="Arial" w:cs="Arial" w:eastAsia="Arial" w:hAnsi="Arial"/>
          <w:b w:val="false"/>
          <w:bCs w:val="false"/>
          <w:color w:val="333333"/>
          <w:sz w:val="20"/>
          <w:szCs w:val="20"/>
        </w:rPr>
        <w:t xml:space="preserve">Page detects geography via IP geolocation; profile data confirms</w:t>
      </w:r>
    </w:p>
    <w:p>
      <w:pPr>
        <w:pStyle w:val="ListParagraph"/>
        <w:numPr>
          <w:ilvl w:val="0"/>
          <w:numId w:val="2"/>
        </w:numPr>
        <w:spacing w:before="40" w:after="60"/>
      </w:pPr>
      <w:r>
        <w:rPr>
          <w:rFonts w:ascii="Arial" w:cs="Arial" w:eastAsia="Arial" w:hAnsi="Arial"/>
          <w:b w:val="false"/>
          <w:bCs w:val="false"/>
          <w:color w:val="333333"/>
          <w:sz w:val="20"/>
          <w:szCs w:val="20"/>
        </w:rPr>
        <w:t xml:space="preserve">International detected → regional checkout presented (Velorum Mauritius as merchant)</w:t>
      </w:r>
    </w:p>
    <w:p>
      <w:pPr>
        <w:pStyle w:val="ListParagraph"/>
        <w:numPr>
          <w:ilvl w:val="0"/>
          <w:numId w:val="3"/>
        </w:numPr>
        <w:spacing w:before="30" w:after="40"/>
      </w:pPr>
      <w:r>
        <w:rPr>
          <w:rFonts w:ascii="Arial" w:cs="Arial" w:eastAsia="Arial" w:hAnsi="Arial"/>
          <w:color w:val="666666"/>
          <w:sz w:val="20"/>
          <w:szCs w:val="20"/>
        </w:rPr>
        <w:t xml:space="preserve">Nigeria / Africa: Paystack or Flutterwave</w:t>
      </w:r>
    </w:p>
    <w:p>
      <w:pPr>
        <w:pStyle w:val="ListParagraph"/>
        <w:numPr>
          <w:ilvl w:val="0"/>
          <w:numId w:val="3"/>
        </w:numPr>
        <w:spacing w:before="30" w:after="40"/>
      </w:pPr>
      <w:r>
        <w:rPr>
          <w:rFonts w:ascii="Arial" w:cs="Arial" w:eastAsia="Arial" w:hAnsi="Arial"/>
          <w:color w:val="666666"/>
          <w:sz w:val="20"/>
          <w:szCs w:val="20"/>
        </w:rPr>
        <w:t xml:space="preserve">Brazil: Stripe Brazil or local rail TBD</w:t>
      </w:r>
    </w:p>
    <w:p>
      <w:pPr>
        <w:pStyle w:val="ListParagraph"/>
        <w:numPr>
          <w:ilvl w:val="0"/>
          <w:numId w:val="2"/>
        </w:numPr>
        <w:spacing w:before="40" w:after="60"/>
      </w:pPr>
      <w:r>
        <w:rPr>
          <w:rFonts w:ascii="Arial" w:cs="Arial" w:eastAsia="Arial" w:hAnsi="Arial"/>
          <w:b w:val="false"/>
          <w:bCs w:val="false"/>
          <w:color w:val="333333"/>
          <w:sz w:val="20"/>
          <w:szCs w:val="20"/>
        </w:rPr>
        <w:t xml:space="preserve">Regional pricing applied based on jurisdiction (purchasing power parity where applicable)</w:t>
      </w:r>
    </w:p>
    <w:p>
      <w:pPr>
        <w:pStyle w:val="ListParagraph"/>
        <w:numPr>
          <w:ilvl w:val="0"/>
          <w:numId w:val="2"/>
        </w:numPr>
        <w:spacing w:before="40" w:after="60"/>
      </w:pPr>
      <w:r>
        <w:rPr>
          <w:rFonts w:ascii="Arial" w:cs="Arial" w:eastAsia="Arial" w:hAnsi="Arial"/>
          <w:b w:val="false"/>
          <w:bCs w:val="false"/>
          <w:color w:val="333333"/>
          <w:sz w:val="20"/>
          <w:szCs w:val="20"/>
        </w:rPr>
        <w:t xml:space="preserve">Circle API called on payment confirmation → member provisioned into correct tier</w:t>
      </w:r>
    </w:p>
    <w:p>
      <w:pPr>
        <w:pStyle w:val="ListParagraph"/>
        <w:numPr>
          <w:ilvl w:val="0"/>
          <w:numId w:val="2"/>
        </w:numPr>
        <w:spacing w:before="40" w:after="60"/>
      </w:pPr>
      <w:r>
        <w:rPr>
          <w:rFonts w:ascii="Arial" w:cs="Arial" w:eastAsia="Arial" w:hAnsi="Arial"/>
          <w:b w:val="false"/>
          <w:bCs w:val="false"/>
          <w:color w:val="333333"/>
          <w:sz w:val="20"/>
          <w:szCs w:val="20"/>
        </w:rPr>
        <w:t xml:space="preserve">Member accesses Circle community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C" w:val="clear"/>
            <w:tcMar>
              <w:top w:type="dxa" w:w="140"/>
              <w:left w:type="dxa" w:w="200"/>
              <w:bottom w:type="dxa" w:w="140"/>
              <w:right w:type="dxa" w:w="200"/>
            </w:tcMar>
          </w:tcPr>
          <w:p>
            <w:pPr>
              <w:spacing w:before="0" w:after="60"/>
            </w:pPr>
            <w:r>
              <w:rPr>
                <w:rFonts w:ascii="Arial" w:cs="Arial" w:eastAsia="Arial" w:hAnsi="Arial"/>
                <w:b/>
                <w:bCs/>
                <w:color w:val="C0531A"/>
                <w:sz w:val="20"/>
                <w:szCs w:val="20"/>
              </w:rPr>
              <w:t xml:space="preserve">Trial Period Note</w:t>
            </w:r>
          </w:p>
          <w:p>
            <w:pPr>
              <w:spacing w:before="0" w:after="0"/>
            </w:pPr>
            <w:r>
              <w:rPr>
                <w:rFonts w:ascii="Arial" w:cs="Arial" w:eastAsia="Arial" w:hAnsi="Arial"/>
                <w:color w:val="333333"/>
                <w:sz w:val="20"/>
                <w:szCs w:val="20"/>
              </w:rPr>
              <w:t xml:space="preserve">The 30-day free trial applies to U.S. members through Stripe’s native trial functionality. Trial mechanics for international members must be confirmed based on Paystack / Flutterwave capabilities. Manual provisioning may be required for international trial members in the initial build.</w:t>
            </w:r>
          </w:p>
        </w:tc>
      </w:tr>
    </w:tbl>
    <w:p>
      <w:pPr>
        <w:spacing w:before="60" w:after="0"/>
      </w:pPr>
      <w:r>
        <w:t xml:space="preserve"/>
      </w:r>
    </w:p>
    <w:p>
      <w:pPr>
        <w:pStyle w:val="Heading1"/>
        <w:pBdr>
          <w:bottom w:val="single" w:color="F5A623" w:sz="4" w:space="6"/>
        </w:pBdr>
        <w:spacing w:before="360" w:after="160"/>
      </w:pPr>
      <w:r>
        <w:rPr>
          <w:rFonts w:ascii="Arial" w:cs="Arial" w:eastAsia="Arial" w:hAnsi="Arial"/>
          <w:b/>
          <w:bCs/>
          <w:color w:val="1B2A4A"/>
          <w:sz w:val="28"/>
          <w:szCs w:val="28"/>
        </w:rPr>
        <w:t xml:space="preserve">4. Entity Routing Rules</w:t>
      </w:r>
    </w:p>
    <w:p>
      <w:pPr>
        <w:spacing w:before="60" w:after="100"/>
      </w:pPr>
      <w:r>
        <w:rPr>
          <w:rFonts w:ascii="Arial" w:cs="Arial" w:eastAsia="Arial" w:hAnsi="Arial"/>
          <w:color w:val="333333"/>
          <w:sz w:val="20"/>
          <w:szCs w:val="20"/>
        </w:rPr>
        <w:t xml:space="preserve">Consistent with the entity routing standard established across the Powerhouse portfolio (AgentPMO, Prept, Nexara HR), Lumynr applies the following routing logic:</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Member Geography</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Contracting Entity</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Payment Processor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United States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 and Running Tech LLC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Stripe (USD)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Nigeria</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Velorum Mauritius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Paystack or Flutterwave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Africa (other)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Velorum Mauritius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Paystack or Flutterwave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Brazil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Velorum Mauritius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TBD (local rail)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Other International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Velorum Mauritius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Stripe (USD) or local rail</w:t>
            </w:r>
          </w:p>
        </w:tc>
      </w:tr>
    </w:tbl>
    <w:p>
      <w:pPr>
        <w:spacing w:before="40" w:after="0"/>
      </w:pPr>
      <w:r>
        <w:t xml:space="preserve"/>
      </w:r>
    </w:p>
    <w:p>
      <w:pPr>
        <w:spacing w:before="60" w:after="100"/>
      </w:pPr>
      <w:r>
        <w:rPr>
          <w:rFonts w:ascii="Arial" w:cs="Arial" w:eastAsia="Arial" w:hAnsi="Arial"/>
          <w:color w:val="333333"/>
          <w:sz w:val="20"/>
          <w:szCs w:val="20"/>
        </w:rPr>
        <w:t xml:space="preserve">Geography is determined at the point of checkout initiation using IP geolocation as the primary signal, with member-provided location from their profile as a secondary confirmation. The routing decision is made once and stored against the member record in Supabase.</w:t>
      </w:r>
    </w:p>
    <w:p>
      <w:pPr>
        <w:spacing w:before="60" w:after="0"/>
      </w:pPr>
      <w:r>
        <w:t xml:space="preserve"/>
      </w:r>
    </w:p>
    <w:p>
      <w:pPr>
        <w:pStyle w:val="Heading1"/>
        <w:pBdr>
          <w:bottom w:val="single" w:color="F5A623" w:sz="4" w:space="6"/>
        </w:pBdr>
        <w:spacing w:before="360" w:after="160"/>
      </w:pPr>
      <w:r>
        <w:rPr>
          <w:rFonts w:ascii="Arial" w:cs="Arial" w:eastAsia="Arial" w:hAnsi="Arial"/>
          <w:b/>
          <w:bCs/>
          <w:color w:val="1B2A4A"/>
          <w:sz w:val="28"/>
          <w:szCs w:val="28"/>
        </w:rPr>
        <w:t xml:space="preserve">5. Legal &amp; Compliance Requirements</w:t>
      </w:r>
    </w:p>
    <w:p>
      <w:pPr>
        <w:pStyle w:val="Heading2"/>
        <w:spacing w:before="280" w:after="120"/>
      </w:pPr>
      <w:r>
        <w:rPr>
          <w:rFonts w:ascii="Arial" w:cs="Arial" w:eastAsia="Arial" w:hAnsi="Arial"/>
          <w:b/>
          <w:bCs/>
          <w:color w:val="C0531A"/>
          <w:sz w:val="24"/>
          <w:szCs w:val="24"/>
        </w:rPr>
        <w:t xml:space="preserve">5.1 Terms of Service &amp; Privacy Policy</w:t>
      </w:r>
    </w:p>
    <w:p>
      <w:pPr>
        <w:pStyle w:val="ListParagraph"/>
        <w:numPr>
          <w:ilvl w:val="0"/>
          <w:numId w:val="2"/>
        </w:numPr>
        <w:spacing w:before="40" w:after="60"/>
      </w:pPr>
      <w:r>
        <w:rPr>
          <w:rFonts w:ascii="Arial" w:cs="Arial" w:eastAsia="Arial" w:hAnsi="Arial"/>
          <w:b w:val="false"/>
          <w:bCs w:val="false"/>
          <w:color w:val="333333"/>
          <w:sz w:val="20"/>
          <w:szCs w:val="20"/>
        </w:rPr>
        <w:t xml:space="preserve">Both UP and Running Tech LLC and Velorum Mauritius must be represented as the provider in their respective Terms of Service, Privacy Policy, invoicing, and checkout flows</w:t>
      </w:r>
    </w:p>
    <w:p>
      <w:pPr>
        <w:pStyle w:val="ListParagraph"/>
        <w:numPr>
          <w:ilvl w:val="0"/>
          <w:numId w:val="2"/>
        </w:numPr>
        <w:spacing w:before="40" w:after="60"/>
      </w:pPr>
      <w:r>
        <w:rPr>
          <w:rFonts w:ascii="Arial" w:cs="Arial" w:eastAsia="Arial" w:hAnsi="Arial"/>
          <w:b w:val="false"/>
          <w:bCs w:val="false"/>
          <w:color w:val="333333"/>
          <w:sz w:val="20"/>
          <w:szCs w:val="20"/>
        </w:rPr>
        <w:t xml:space="preserve">A single Lumynr Terms of Service document should present both entities with jurisdiction-based applicability language</w:t>
      </w:r>
    </w:p>
    <w:p>
      <w:pPr>
        <w:pStyle w:val="ListParagraph"/>
        <w:numPr>
          <w:ilvl w:val="0"/>
          <w:numId w:val="2"/>
        </w:numPr>
        <w:spacing w:before="40" w:after="60"/>
      </w:pPr>
      <w:r>
        <w:rPr>
          <w:rFonts w:ascii="Arial" w:cs="Arial" w:eastAsia="Arial" w:hAnsi="Arial"/>
          <w:b w:val="false"/>
          <w:bCs w:val="false"/>
          <w:color w:val="333333"/>
          <w:sz w:val="20"/>
          <w:szCs w:val="20"/>
        </w:rPr>
        <w:t xml:space="preserve">Privacy policy must address GDPR (EU/UK members), LGPD (Brazilian members), and general international data rights</w:t>
      </w:r>
    </w:p>
    <w:p>
      <w:pPr>
        <w:spacing w:before="40" w:after="0"/>
      </w:pPr>
      <w:r>
        <w:t xml:space="preserve"/>
      </w:r>
    </w:p>
    <w:p>
      <w:pPr>
        <w:pStyle w:val="Heading2"/>
        <w:spacing w:before="280" w:after="120"/>
      </w:pPr>
      <w:r>
        <w:rPr>
          <w:rFonts w:ascii="Arial" w:cs="Arial" w:eastAsia="Arial" w:hAnsi="Arial"/>
          <w:b/>
          <w:bCs/>
          <w:color w:val="C0531A"/>
          <w:sz w:val="24"/>
          <w:szCs w:val="24"/>
        </w:rPr>
        <w:t xml:space="preserve">5.2 Founding Member Rate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DF5" w:val="clear"/>
            <w:tcMar>
              <w:top w:type="dxa" w:w="140"/>
              <w:left w:type="dxa" w:w="200"/>
              <w:bottom w:type="dxa" w:w="140"/>
              <w:right w:type="dxa" w:w="200"/>
            </w:tcMar>
          </w:tcPr>
          <w:p>
            <w:pPr>
              <w:spacing w:before="0" w:after="60"/>
            </w:pPr>
            <w:r>
              <w:rPr>
                <w:rFonts w:ascii="Arial" w:cs="Arial" w:eastAsia="Arial" w:hAnsi="Arial"/>
                <w:b/>
                <w:bCs/>
                <w:color w:val="1B2A4A"/>
                <w:sz w:val="20"/>
                <w:szCs w:val="20"/>
              </w:rPr>
              <w:t xml:space="preserve">Policy</w:t>
            </w:r>
          </w:p>
          <w:p>
            <w:pPr>
              <w:spacing w:before="0" w:after="0"/>
            </w:pPr>
            <w:r>
              <w:rPr>
                <w:rFonts w:ascii="Arial" w:cs="Arial" w:eastAsia="Arial" w:hAnsi="Arial"/>
                <w:color w:val="333333"/>
                <w:sz w:val="20"/>
                <w:szCs w:val="20"/>
              </w:rPr>
              <w:t xml:space="preserve">The founding member rate (Nova $15/month, Luminary $25/month) is permanently locked only for continuous membership. Cancellation forfeits the founding rate. Members who cancel and rejoin do so at the prevailing rate at time of return. This must be explicitly stated in the Terms &amp; Conditions.</w:t>
            </w:r>
          </w:p>
        </w:tc>
      </w:tr>
    </w:tbl>
    <w:p>
      <w:pPr>
        <w:spacing w:before="40" w:after="0"/>
      </w:pPr>
      <w:r>
        <w:t xml:space="preserve"/>
      </w:r>
    </w:p>
    <w:p>
      <w:pPr>
        <w:pStyle w:val="Heading2"/>
        <w:spacing w:before="280" w:after="120"/>
      </w:pPr>
      <w:r>
        <w:rPr>
          <w:rFonts w:ascii="Arial" w:cs="Arial" w:eastAsia="Arial" w:hAnsi="Arial"/>
          <w:b/>
          <w:bCs/>
          <w:color w:val="C0531A"/>
          <w:sz w:val="24"/>
          <w:szCs w:val="24"/>
        </w:rPr>
        <w:t xml:space="preserve">5.3 Nova Tier Graduation Policy</w:t>
      </w:r>
    </w:p>
    <w:p>
      <w:pPr>
        <w:pStyle w:val="ListParagraph"/>
        <w:numPr>
          <w:ilvl w:val="0"/>
          <w:numId w:val="2"/>
        </w:numPr>
        <w:spacing w:before="40" w:after="60"/>
      </w:pPr>
      <w:r>
        <w:rPr>
          <w:rFonts w:ascii="Arial" w:cs="Arial" w:eastAsia="Arial" w:hAnsi="Arial"/>
          <w:b w:val="false"/>
          <w:bCs w:val="false"/>
          <w:color w:val="333333"/>
          <w:sz w:val="20"/>
          <w:szCs w:val="20"/>
        </w:rPr>
        <w:t xml:space="preserve">Nova membership is capped at 6 years (4-year undergraduate + 2-year graduate)</w:t>
      </w:r>
    </w:p>
    <w:p>
      <w:pPr>
        <w:pStyle w:val="ListParagraph"/>
        <w:numPr>
          <w:ilvl w:val="0"/>
          <w:numId w:val="2"/>
        </w:numPr>
        <w:spacing w:before="40" w:after="60"/>
      </w:pPr>
      <w:r>
        <w:rPr>
          <w:rFonts w:ascii="Arial" w:cs="Arial" w:eastAsia="Arial" w:hAnsi="Arial"/>
          <w:b w:val="false"/>
          <w:bCs w:val="false"/>
          <w:color w:val="333333"/>
          <w:sz w:val="20"/>
          <w:szCs w:val="20"/>
        </w:rPr>
        <w:t xml:space="preserve">Annual .edu email re-verification required</w:t>
      </w:r>
    </w:p>
    <w:p>
      <w:pPr>
        <w:pStyle w:val="ListParagraph"/>
        <w:numPr>
          <w:ilvl w:val="0"/>
          <w:numId w:val="2"/>
        </w:numPr>
        <w:spacing w:before="40" w:after="60"/>
      </w:pPr>
      <w:r>
        <w:rPr>
          <w:rFonts w:ascii="Arial" w:cs="Arial" w:eastAsia="Arial" w:hAnsi="Arial"/>
          <w:b w:val="false"/>
          <w:bCs w:val="false"/>
          <w:color w:val="333333"/>
          <w:sz w:val="20"/>
          <w:szCs w:val="20"/>
        </w:rPr>
        <w:t xml:space="preserve">30-day notification window before tier transition</w:t>
      </w:r>
    </w:p>
    <w:p>
      <w:pPr>
        <w:pStyle w:val="ListParagraph"/>
        <w:numPr>
          <w:ilvl w:val="0"/>
          <w:numId w:val="2"/>
        </w:numPr>
        <w:spacing w:before="40" w:after="60"/>
      </w:pPr>
      <w:r>
        <w:rPr>
          <w:rFonts w:ascii="Arial" w:cs="Arial" w:eastAsia="Arial" w:hAnsi="Arial"/>
          <w:b w:val="false"/>
          <w:bCs w:val="false"/>
          <w:color w:val="333333"/>
          <w:sz w:val="20"/>
          <w:szCs w:val="20"/>
        </w:rPr>
        <w:t xml:space="preserve">Nova founding members transition to Luminary at permanent founding rate ($25/month)</w:t>
      </w:r>
    </w:p>
    <w:p>
      <w:pPr>
        <w:pStyle w:val="ListParagraph"/>
        <w:numPr>
          <w:ilvl w:val="0"/>
          <w:numId w:val="2"/>
        </w:numPr>
        <w:spacing w:before="40" w:after="60"/>
      </w:pPr>
      <w:r>
        <w:rPr>
          <w:rFonts w:ascii="Arial" w:cs="Arial" w:eastAsia="Arial" w:hAnsi="Arial"/>
          <w:b w:val="false"/>
          <w:bCs w:val="false"/>
          <w:color w:val="333333"/>
          <w:sz w:val="20"/>
          <w:szCs w:val="20"/>
        </w:rPr>
        <w:t xml:space="preserve">Non-founding Nova graduates receive 3-month transition at 50% off prevailing Luminary rate before moving to prevailing rate</w:t>
      </w:r>
    </w:p>
    <w:p>
      <w:pPr>
        <w:pStyle w:val="ListParagraph"/>
        <w:numPr>
          <w:ilvl w:val="0"/>
          <w:numId w:val="2"/>
        </w:numPr>
        <w:spacing w:before="40" w:after="60"/>
      </w:pPr>
      <w:r>
        <w:rPr>
          <w:rFonts w:ascii="Arial" w:cs="Arial" w:eastAsia="Arial" w:hAnsi="Arial"/>
          <w:b w:val="false"/>
          <w:bCs w:val="false"/>
          <w:color w:val="333333"/>
          <w:sz w:val="20"/>
          <w:szCs w:val="20"/>
        </w:rPr>
        <w:t xml:space="preserve">All graduation policy terms must be documented explicitly in Terms &amp; Conditions</w:t>
      </w:r>
    </w:p>
    <w:p>
      <w:pPr>
        <w:spacing w:before="60" w:after="0"/>
      </w:pPr>
      <w:r>
        <w:t xml:space="preserve"/>
      </w:r>
    </w:p>
    <w:p>
      <w:pPr>
        <w:pStyle w:val="Heading1"/>
        <w:pBdr>
          <w:bottom w:val="single" w:color="F5A623" w:sz="4" w:space="6"/>
        </w:pBdr>
        <w:spacing w:before="360" w:after="160"/>
      </w:pPr>
      <w:r>
        <w:rPr>
          <w:rFonts w:ascii="Arial" w:cs="Arial" w:eastAsia="Arial" w:hAnsi="Arial"/>
          <w:b/>
          <w:bCs/>
          <w:color w:val="1B2A4A"/>
          <w:sz w:val="28"/>
          <w:szCs w:val="28"/>
        </w:rPr>
        <w:t xml:space="preserve">6. Implementation Phases</w:t>
      </w:r>
    </w:p>
    <w:p>
      <w:pPr>
        <w:pStyle w:val="Heading2"/>
        <w:spacing w:before="280" w:after="120"/>
      </w:pPr>
      <w:r>
        <w:rPr>
          <w:rFonts w:ascii="Arial" w:cs="Arial" w:eastAsia="Arial" w:hAnsi="Arial"/>
          <w:b/>
          <w:bCs/>
          <w:color w:val="C0531A"/>
          <w:sz w:val="24"/>
          <w:szCs w:val="24"/>
        </w:rPr>
        <w:t xml:space="preserve">Phase 1: U.S. Launch (Current Priority)</w:t>
      </w:r>
    </w:p>
    <w:p>
      <w:pPr>
        <w:pStyle w:val="ListParagraph"/>
        <w:numPr>
          <w:ilvl w:val="0"/>
          <w:numId w:val="2"/>
        </w:numPr>
        <w:spacing w:before="40" w:after="60"/>
      </w:pPr>
      <w:r>
        <w:rPr>
          <w:rFonts w:ascii="Arial" w:cs="Arial" w:eastAsia="Arial" w:hAnsi="Arial"/>
          <w:b w:val="false"/>
          <w:bCs w:val="false"/>
          <w:color w:val="333333"/>
          <w:sz w:val="20"/>
          <w:szCs w:val="20"/>
        </w:rPr>
        <w:t xml:space="preserve">Custom membership page with Stripe checkout (UP and Running Tech LLC)</w:t>
      </w:r>
    </w:p>
    <w:p>
      <w:pPr>
        <w:pStyle w:val="ListParagraph"/>
        <w:numPr>
          <w:ilvl w:val="0"/>
          <w:numId w:val="2"/>
        </w:numPr>
        <w:spacing w:before="40" w:after="60"/>
      </w:pPr>
      <w:r>
        <w:rPr>
          <w:rFonts w:ascii="Arial" w:cs="Arial" w:eastAsia="Arial" w:hAnsi="Arial"/>
          <w:b w:val="false"/>
          <w:bCs w:val="false"/>
          <w:color w:val="333333"/>
          <w:sz w:val="20"/>
          <w:szCs w:val="20"/>
        </w:rPr>
        <w:t xml:space="preserve">IP geolocation logic implemented but routing to U.S. path only</w:t>
      </w:r>
    </w:p>
    <w:p>
      <w:pPr>
        <w:pStyle w:val="ListParagraph"/>
        <w:numPr>
          <w:ilvl w:val="0"/>
          <w:numId w:val="2"/>
        </w:numPr>
        <w:spacing w:before="40" w:after="60"/>
      </w:pPr>
      <w:r>
        <w:rPr>
          <w:rFonts w:ascii="Arial" w:cs="Arial" w:eastAsia="Arial" w:hAnsi="Arial"/>
          <w:b w:val="false"/>
          <w:bCs w:val="false"/>
          <w:color w:val="333333"/>
          <w:sz w:val="20"/>
          <w:szCs w:val="20"/>
        </w:rPr>
        <w:t xml:space="preserve">Circle API provisioning on trial initiation</w:t>
      </w:r>
    </w:p>
    <w:p>
      <w:pPr>
        <w:pStyle w:val="ListParagraph"/>
        <w:numPr>
          <w:ilvl w:val="0"/>
          <w:numId w:val="2"/>
        </w:numPr>
        <w:spacing w:before="40" w:after="60"/>
      </w:pPr>
      <w:r>
        <w:rPr>
          <w:rFonts w:ascii="Arial" w:cs="Arial" w:eastAsia="Arial" w:hAnsi="Arial"/>
          <w:b w:val="false"/>
          <w:bCs w:val="false"/>
          <w:color w:val="333333"/>
          <w:sz w:val="20"/>
          <w:szCs w:val="20"/>
        </w:rPr>
        <w:t xml:space="preserve">Member jurisdiction stored in Supabase member record</w:t>
      </w:r>
    </w:p>
    <w:p>
      <w:pPr>
        <w:pStyle w:val="ListParagraph"/>
        <w:numPr>
          <w:ilvl w:val="0"/>
          <w:numId w:val="2"/>
        </w:numPr>
        <w:spacing w:before="40" w:after="60"/>
      </w:pPr>
      <w:r>
        <w:rPr>
          <w:rFonts w:ascii="Arial" w:cs="Arial" w:eastAsia="Arial" w:hAnsi="Arial"/>
          <w:b w:val="false"/>
          <w:bCs w:val="false"/>
          <w:color w:val="333333"/>
          <w:sz w:val="20"/>
          <w:szCs w:val="20"/>
        </w:rPr>
        <w:t xml:space="preserve">Terms of Service with entity routing language drafted</w:t>
      </w:r>
    </w:p>
    <w:p>
      <w:pPr>
        <w:spacing w:before="20" w:after="0"/>
      </w:pPr>
      <w:r>
        <w:t xml:space="preserve"/>
      </w:r>
    </w:p>
    <w:p>
      <w:pPr>
        <w:spacing w:before="60" w:after="100"/>
      </w:pPr>
      <w:r>
        <w:rPr>
          <w:rFonts w:ascii="Arial" w:cs="Arial" w:eastAsia="Arial" w:hAnsi="Arial"/>
          <w:color w:val="333333"/>
          <w:sz w:val="20"/>
          <w:szCs w:val="20"/>
        </w:rPr>
        <w:t xml:space="preserve">International routing logic stubbed but inactive. No rebuild required when Phase 2 activates.</w:t>
      </w:r>
    </w:p>
    <w:p>
      <w:pPr>
        <w:spacing w:before="40" w:after="0"/>
      </w:pPr>
      <w:r>
        <w:t xml:space="preserve"/>
      </w:r>
    </w:p>
    <w:p>
      <w:pPr>
        <w:pStyle w:val="Heading2"/>
        <w:spacing w:before="280" w:after="120"/>
      </w:pPr>
      <w:r>
        <w:rPr>
          <w:rFonts w:ascii="Arial" w:cs="Arial" w:eastAsia="Arial" w:hAnsi="Arial"/>
          <w:b/>
          <w:bCs/>
          <w:color w:val="C0531A"/>
          <w:sz w:val="24"/>
          <w:szCs w:val="24"/>
        </w:rPr>
        <w:t xml:space="preserve">Phase 2: Nigeria &amp; Africa (Mid-Term — After U.S. Base Established)</w:t>
      </w:r>
    </w:p>
    <w:p>
      <w:pPr>
        <w:pStyle w:val="ListParagraph"/>
        <w:numPr>
          <w:ilvl w:val="0"/>
          <w:numId w:val="2"/>
        </w:numPr>
        <w:spacing w:before="40" w:after="60"/>
      </w:pPr>
      <w:r>
        <w:rPr>
          <w:rFonts w:ascii="Arial" w:cs="Arial" w:eastAsia="Arial" w:hAnsi="Arial"/>
          <w:b w:val="false"/>
          <w:bCs w:val="false"/>
          <w:color w:val="333333"/>
          <w:sz w:val="20"/>
          <w:szCs w:val="20"/>
        </w:rPr>
        <w:t xml:space="preserve">Paystack or Flutterwave integration added to checkout layer</w:t>
      </w:r>
    </w:p>
    <w:p>
      <w:pPr>
        <w:pStyle w:val="ListParagraph"/>
        <w:numPr>
          <w:ilvl w:val="0"/>
          <w:numId w:val="2"/>
        </w:numPr>
        <w:spacing w:before="40" w:after="60"/>
      </w:pPr>
      <w:r>
        <w:rPr>
          <w:rFonts w:ascii="Arial" w:cs="Arial" w:eastAsia="Arial" w:hAnsi="Arial"/>
          <w:b w:val="false"/>
          <w:bCs w:val="false"/>
          <w:color w:val="333333"/>
          <w:sz w:val="20"/>
          <w:szCs w:val="20"/>
        </w:rPr>
        <w:t xml:space="preserve">Velorum Mauritius activated as contracting entity for international members</w:t>
      </w:r>
    </w:p>
    <w:p>
      <w:pPr>
        <w:pStyle w:val="ListParagraph"/>
        <w:numPr>
          <w:ilvl w:val="0"/>
          <w:numId w:val="2"/>
        </w:numPr>
        <w:spacing w:before="40" w:after="60"/>
      </w:pPr>
      <w:r>
        <w:rPr>
          <w:rFonts w:ascii="Arial" w:cs="Arial" w:eastAsia="Arial" w:hAnsi="Arial"/>
          <w:b w:val="false"/>
          <w:bCs w:val="false"/>
          <w:color w:val="333333"/>
          <w:sz w:val="20"/>
          <w:szCs w:val="20"/>
        </w:rPr>
        <w:t xml:space="preserve">Regional pricing logic implemented</w:t>
      </w:r>
    </w:p>
    <w:p>
      <w:pPr>
        <w:pStyle w:val="ListParagraph"/>
        <w:numPr>
          <w:ilvl w:val="0"/>
          <w:numId w:val="2"/>
        </w:numPr>
        <w:spacing w:before="40" w:after="60"/>
      </w:pPr>
      <w:r>
        <w:rPr>
          <w:rFonts w:ascii="Arial" w:cs="Arial" w:eastAsia="Arial" w:hAnsi="Arial"/>
          <w:b w:val="false"/>
          <w:bCs w:val="false"/>
          <w:color w:val="333333"/>
          <w:sz w:val="20"/>
          <w:szCs w:val="20"/>
        </w:rPr>
        <w:t xml:space="preserve">International trial mechanics confirmed and built</w:t>
      </w:r>
    </w:p>
    <w:p>
      <w:pPr>
        <w:pStyle w:val="ListParagraph"/>
        <w:numPr>
          <w:ilvl w:val="0"/>
          <w:numId w:val="2"/>
        </w:numPr>
        <w:spacing w:before="40" w:after="60"/>
      </w:pPr>
      <w:r>
        <w:rPr>
          <w:rFonts w:ascii="Arial" w:cs="Arial" w:eastAsia="Arial" w:hAnsi="Arial"/>
          <w:b w:val="false"/>
          <w:bCs w:val="false"/>
          <w:color w:val="333333"/>
          <w:sz w:val="20"/>
          <w:szCs w:val="20"/>
        </w:rPr>
        <w:t xml:space="preserve">Existing geo-routing logic updated to activate international path</w:t>
      </w:r>
    </w:p>
    <w:p>
      <w:pPr>
        <w:spacing w:before="40" w:after="0"/>
      </w:pPr>
      <w:r>
        <w:t xml:space="preserve"/>
      </w:r>
    </w:p>
    <w:p>
      <w:pPr>
        <w:pStyle w:val="Heading2"/>
        <w:spacing w:before="280" w:after="120"/>
      </w:pPr>
      <w:r>
        <w:rPr>
          <w:rFonts w:ascii="Arial" w:cs="Arial" w:eastAsia="Arial" w:hAnsi="Arial"/>
          <w:b/>
          <w:bCs/>
          <w:color w:val="C0531A"/>
          <w:sz w:val="24"/>
          <w:szCs w:val="24"/>
        </w:rPr>
        <w:t xml:space="preserve">Phase 3: Brazil &amp; Broader International</w:t>
      </w:r>
    </w:p>
    <w:p>
      <w:pPr>
        <w:pStyle w:val="ListParagraph"/>
        <w:numPr>
          <w:ilvl w:val="0"/>
          <w:numId w:val="2"/>
        </w:numPr>
        <w:spacing w:before="40" w:after="60"/>
      </w:pPr>
      <w:r>
        <w:rPr>
          <w:rFonts w:ascii="Arial" w:cs="Arial" w:eastAsia="Arial" w:hAnsi="Arial"/>
          <w:b w:val="false"/>
          <w:bCs w:val="false"/>
          <w:color w:val="333333"/>
          <w:sz w:val="20"/>
          <w:szCs w:val="20"/>
        </w:rPr>
        <w:t xml:space="preserve">Brazilian payment rail identified and integrated</w:t>
      </w:r>
    </w:p>
    <w:p>
      <w:pPr>
        <w:pStyle w:val="ListParagraph"/>
        <w:numPr>
          <w:ilvl w:val="0"/>
          <w:numId w:val="2"/>
        </w:numPr>
        <w:spacing w:before="40" w:after="60"/>
      </w:pPr>
      <w:r>
        <w:rPr>
          <w:rFonts w:ascii="Arial" w:cs="Arial" w:eastAsia="Arial" w:hAnsi="Arial"/>
          <w:b w:val="false"/>
          <w:bCs w:val="false"/>
          <w:color w:val="333333"/>
          <w:sz w:val="20"/>
          <w:szCs w:val="20"/>
        </w:rPr>
        <w:t xml:space="preserve">LGPD-specific privacy policy language validated</w:t>
      </w:r>
    </w:p>
    <w:p>
      <w:pPr>
        <w:pStyle w:val="ListParagraph"/>
        <w:numPr>
          <w:ilvl w:val="0"/>
          <w:numId w:val="2"/>
        </w:numPr>
        <w:spacing w:before="40" w:after="60"/>
      </w:pPr>
      <w:r>
        <w:rPr>
          <w:rFonts w:ascii="Arial" w:cs="Arial" w:eastAsia="Arial" w:hAnsi="Arial"/>
          <w:b w:val="false"/>
          <w:bCs w:val="false"/>
          <w:color w:val="333333"/>
          <w:sz w:val="20"/>
          <w:szCs w:val="20"/>
        </w:rPr>
        <w:t xml:space="preserve">Purchasing power parity pricing reviewed and set for Brazil</w:t>
      </w:r>
    </w:p>
    <w:p>
      <w:pPr>
        <w:spacing w:before="60" w:after="0"/>
      </w:pPr>
      <w:r>
        <w:t xml:space="preserve"/>
      </w:r>
    </w:p>
    <w:p>
      <w:pPr>
        <w:pStyle w:val="Heading1"/>
        <w:pBdr>
          <w:bottom w:val="single" w:color="F5A623" w:sz="4" w:space="6"/>
        </w:pBdr>
        <w:spacing w:before="360" w:after="160"/>
      </w:pPr>
      <w:r>
        <w:rPr>
          <w:rFonts w:ascii="Arial" w:cs="Arial" w:eastAsia="Arial" w:hAnsi="Arial"/>
          <w:b/>
          <w:bCs/>
          <w:color w:val="1B2A4A"/>
          <w:sz w:val="28"/>
          <w:szCs w:val="28"/>
        </w:rPr>
        <w:t xml:space="preserve">7. Deferred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to Revisit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Paystack vs. Flutterwave selection for Nigeria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Phase 2 planning; evaluate fees, reliability, and Nigerian market share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531A"/>
                <w:sz w:val="18"/>
                <w:szCs w:val="18"/>
              </w:rPr>
              <w:t xml:space="preserve">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Brazil payment rail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Phase 3 planning; evaluate Stripe Brazil, PagSeguro, Mercado Pago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531A"/>
                <w:sz w:val="18"/>
                <w:szCs w:val="18"/>
              </w:rPr>
              <w:t xml:space="preserve">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Purchasing power parity pricing for Nigeria and Brazil</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Phase 2 planning; define discount tiers and eligibility verification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531A"/>
                <w:sz w:val="18"/>
                <w:szCs w:val="18"/>
              </w:rPr>
              <w:t xml:space="preserve">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International trial mechanics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Phase 2 build; confirm trial support in Paystack / Flutterwave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531A"/>
                <w:sz w:val="18"/>
                <w:szCs w:val="18"/>
              </w:rPr>
              <w:t xml:space="preserve">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Platform migration off Circle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If international membership exceeds 20% of total members or Circle pricing becomes untenable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531A"/>
                <w:sz w:val="18"/>
                <w:szCs w:val="18"/>
              </w:rPr>
              <w:t xml:space="preserve">TBD</w:t>
            </w:r>
          </w:p>
        </w:tc>
      </w:tr>
    </w:tbl>
    <w:p>
      <w:pPr>
        <w:spacing w:before="60" w:after="0"/>
      </w:pPr>
      <w:r>
        <w:t xml:space="preserve"/>
      </w:r>
    </w:p>
    <w:p>
      <w:pPr>
        <w:pStyle w:val="Heading1"/>
        <w:pBdr>
          <w:bottom w:val="single" w:color="F5A623" w:sz="4" w:space="6"/>
        </w:pBdr>
        <w:spacing w:before="360" w:after="160"/>
      </w:pPr>
      <w:r>
        <w:rPr>
          <w:rFonts w:ascii="Arial" w:cs="Arial" w:eastAsia="Arial" w:hAnsi="Arial"/>
          <w:b/>
          <w:bCs/>
          <w:color w:val="1B2A4A"/>
          <w:sz w:val="28"/>
          <w:szCs w:val="28"/>
        </w:rPr>
        <w:t xml:space="preserve">8. Technical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 / Service</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Frontend / Membership App</w:t>
            </w:r>
          </w:p>
        </w:tc>
        <w:tc>
          <w:tcPr>
            <w:tcW w:type="dxa" w:w="6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color w:val="333333"/>
                <w:sz w:val="18"/>
                <w:szCs w:val="18"/>
              </w:rPr>
              <w:t xml:space="preserve">Next.js (Vercel) — consistent with Powerhouse portfolio 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Database / Member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Supabase (PostgreSQL) — member jurisdiction, tier, status stored here</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Authentication</w:t>
            </w:r>
          </w:p>
        </w:tc>
        <w:tc>
          <w:tcPr>
            <w:tcW w:type="dxa" w:w="6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color w:val="333333"/>
                <w:sz w:val="18"/>
                <w:szCs w:val="18"/>
              </w:rPr>
              <w:t xml:space="preserve">Consistent with existing Powerhouse auth standard (Clerk or Supabase Auth)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U.S. Payment 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Stripe — connected to UP and Running Tech LLC</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International Payment Processing</w:t>
            </w:r>
          </w:p>
        </w:tc>
        <w:tc>
          <w:tcPr>
            <w:tcW w:type="dxa" w:w="6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color w:val="333333"/>
                <w:sz w:val="18"/>
                <w:szCs w:val="18"/>
              </w:rPr>
              <w:t xml:space="preserve">Paystack or Flutterwave — connected to Velorum Mauritius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Community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Circle.so — provisioned via Circle API post-payment</w:t>
            </w:r>
          </w:p>
        </w:tc>
      </w:tr>
      <w:tr>
        <w:tc>
          <w:tcPr>
            <w:tcW w:type="dxa" w:w="28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Geo-detection</w:t>
            </w:r>
          </w:p>
        </w:tc>
        <w:tc>
          <w:tcPr>
            <w:tcW w:type="dxa" w:w="65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color w:val="333333"/>
                <w:sz w:val="18"/>
                <w:szCs w:val="18"/>
              </w:rPr>
              <w:t xml:space="preserve">IP geolocation library (e.g. MaxMind GeoIP2) + member profile confirmation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spacing w:before="100" w:after="0"/>
    </w:pPr>
    <w:r>
      <w:rPr>
        <w:rFonts w:ascii="Arial" w:cs="Arial" w:eastAsia="Arial" w:hAnsi="Arial"/>
        <w:color w:val="666666"/>
        <w:sz w:val="16"/>
        <w:szCs w:val="16"/>
      </w:rPr>
      <w:t xml:space="preserve">Lumynr — Powerhouse Industries Portfolio</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4" w:space="6"/>
      </w:pBdr>
      <w:tabs>
        <w:tab w:val="right" w:pos="9026"/>
      </w:tabs>
      <w:spacing w:before="0" w:after="120"/>
    </w:pPr>
    <w:r>
      <w:rPr>
        <w:rFonts w:ascii="Arial" w:cs="Arial" w:eastAsia="Arial" w:hAnsi="Arial"/>
        <w:b/>
        <w:bCs/>
        <w:color w:val="1B2A4A"/>
        <w:sz w:val="20"/>
        <w:szCs w:val="20"/>
      </w:rPr>
      <w:t xml:space="preserve">LUMYNR</w:t>
    </w:r>
    <w:r>
      <w:rPr>
        <w:rFonts w:ascii="Arial" w:cs="Arial" w:eastAsia="Arial" w:hAnsi="Arial"/>
        <w:color w:val="666666"/>
        <w:sz w:val="20"/>
        <w:szCs w:val="20"/>
      </w:rPr>
      <w:t xml:space="preserve">  |  Architecture Decision Record</w:t>
    </w:r>
    <w:r>
      <w:rPr>
        <w:rFonts w:ascii="Arial" w:cs="Arial" w:eastAsia="Arial" w:hAnsi="Arial"/>
        <w:sz w:val="20"/>
        <w:szCs w:val="20"/>
      </w:rPr>
      <w:t xml:space="preserve">	</w:t>
    </w:r>
    <w:r>
      <w:rPr>
        <w:rFonts w:ascii="Arial" w:cs="Arial" w:eastAsia="Arial" w:hAnsi="Arial"/>
        <w:b/>
        <w:bCs/>
        <w:color w:val="C0531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C053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2026-03-19T21:53:03.543Z</dcterms:created>
  <dcterms:modified xsi:type="dcterms:W3CDTF">2026-03-19T21:53:03.545Z</dcterms:modified>
</cp:coreProperties>
</file>

<file path=docProps/custom.xml><?xml version="1.0" encoding="utf-8"?>
<Properties xmlns="http://schemas.openxmlformats.org/officeDocument/2006/custom-properties" xmlns:vt="http://schemas.openxmlformats.org/officeDocument/2006/docPropsVTypes"/>
</file>