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15" w:rsidRDefault="00587283" w:rsidP="00587283">
      <w:pPr>
        <w:tabs>
          <w:tab w:val="left" w:pos="2556"/>
        </w:tabs>
        <w:rPr>
          <w:sz w:val="28"/>
          <w:u w:val="single"/>
        </w:rPr>
      </w:pPr>
      <w:r w:rsidRPr="00587283">
        <w:rPr>
          <w:sz w:val="28"/>
          <w:u w:val="single"/>
        </w:rPr>
        <w:t xml:space="preserve">Sub-sea permafrost : </w:t>
      </w:r>
    </w:p>
    <w:p w:rsidR="00587283" w:rsidRDefault="00587283" w:rsidP="00587283">
      <w:pPr>
        <w:tabs>
          <w:tab w:val="left" w:pos="2556"/>
        </w:tabs>
      </w:pPr>
      <w:r>
        <w:t xml:space="preserve">Peu contenir de la glace ou pas. </w:t>
      </w:r>
    </w:p>
    <w:p w:rsidR="00587283" w:rsidRDefault="00587283" w:rsidP="00587283">
      <w:pPr>
        <w:tabs>
          <w:tab w:val="left" w:pos="2556"/>
        </w:tabs>
      </w:pPr>
      <w:r>
        <w:t>Il n’y pas a de glace sur le dessus du permafrost la majeur partie du temps</w:t>
      </w:r>
    </w:p>
    <w:p w:rsidR="00587283" w:rsidRDefault="00587283" w:rsidP="00587283">
      <w:pPr>
        <w:tabs>
          <w:tab w:val="left" w:pos="2556"/>
        </w:tabs>
      </w:pPr>
      <w:r>
        <w:t>Il y a une relation entre le dégel du permafrost et son niveau de submertion</w:t>
      </w:r>
    </w:p>
    <w:p w:rsidR="00587283" w:rsidRDefault="00CF0CED" w:rsidP="00587283">
      <w:pPr>
        <w:tabs>
          <w:tab w:val="left" w:pos="2556"/>
        </w:tabs>
      </w:pPr>
      <w:r>
        <w:t>Le sel réduit la quantité de glace dans le sol et réduit l’équilibre entre la température et la quantité de glace.</w:t>
      </w:r>
    </w:p>
    <w:p w:rsidR="00CF0CED" w:rsidRDefault="00CF0CED" w:rsidP="00587283">
      <w:pPr>
        <w:tabs>
          <w:tab w:val="left" w:pos="2556"/>
        </w:tabs>
      </w:pPr>
      <w:r>
        <w:t>Quelques endroits de la mer de Beaufort contient des permafrost riche en glace et eau salé.</w:t>
      </w:r>
    </w:p>
    <w:p w:rsidR="00CF0CED" w:rsidRDefault="005C6982" w:rsidP="00587283">
      <w:pPr>
        <w:tabs>
          <w:tab w:val="left" w:pos="2556"/>
        </w:tabs>
      </w:pPr>
      <w:r>
        <w:t>Facteur qui influence le permafrost : geologie, meteorologie, oceanographie, hydrologie, cryologie</w:t>
      </w:r>
    </w:p>
    <w:p w:rsidR="005C6982" w:rsidRDefault="00DA6F88" w:rsidP="00587283">
      <w:pPr>
        <w:tabs>
          <w:tab w:val="left" w:pos="2556"/>
        </w:tabs>
        <w:rPr>
          <w:u w:val="single"/>
          <w:lang w:val="en-CA"/>
        </w:rPr>
      </w:pPr>
      <w:r w:rsidRPr="00DA6F88">
        <w:rPr>
          <w:sz w:val="28"/>
          <w:u w:val="single"/>
          <w:lang w:val="en-CA"/>
        </w:rPr>
        <w:t>Climate change and the permafrost carbon feedback</w:t>
      </w:r>
      <w:r w:rsidRPr="00DA6F88">
        <w:rPr>
          <w:u w:val="single"/>
          <w:lang w:val="en-CA"/>
        </w:rPr>
        <w:t xml:space="preserve"> </w:t>
      </w:r>
    </w:p>
    <w:p w:rsidR="00DA6F88" w:rsidRPr="00DA6F88" w:rsidRDefault="00DA6F88" w:rsidP="00587283">
      <w:pPr>
        <w:tabs>
          <w:tab w:val="left" w:pos="2556"/>
        </w:tabs>
      </w:pPr>
      <w:r w:rsidRPr="00DA6F88">
        <w:t>Activités microbiennes qui produi</w:t>
      </w:r>
      <w:r>
        <w:t>se</w:t>
      </w:r>
      <w:r w:rsidRPr="00DA6F88">
        <w:t xml:space="preserve">nt le méthane </w:t>
      </w:r>
    </w:p>
    <w:p w:rsidR="00DA6F88" w:rsidRDefault="00D57E06" w:rsidP="00587283">
      <w:pPr>
        <w:tabs>
          <w:tab w:val="left" w:pos="2556"/>
        </w:tabs>
      </w:pPr>
      <w:r>
        <w:t>Les thermokasts provoquent la fonde rapide du pergélisol et c’est régional</w:t>
      </w:r>
    </w:p>
    <w:p w:rsidR="00D57E06" w:rsidRDefault="00D57E06" w:rsidP="00587283">
      <w:pPr>
        <w:tabs>
          <w:tab w:val="left" w:pos="2556"/>
        </w:tabs>
      </w:pPr>
      <w:r>
        <w:t>Présence de permafrost sous les océans et le ch4 est prisonnier en dessous en raison de la glace ou du pergélisol.</w:t>
      </w:r>
    </w:p>
    <w:p w:rsidR="00D57E06" w:rsidRDefault="00D57E06" w:rsidP="00587283">
      <w:pPr>
        <w:tabs>
          <w:tab w:val="left" w:pos="2556"/>
        </w:tabs>
      </w:pPr>
      <w:r>
        <w:t xml:space="preserve">Certaines régions du nord de la sibérie on vu les températures augmenter de 2.1 degres </w:t>
      </w:r>
    </w:p>
    <w:p w:rsidR="00D57E06"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Activation of old c</w:t>
      </w:r>
      <w:r>
        <w:rPr>
          <w:rFonts w:cstheme="minorHAnsi"/>
          <w:sz w:val="28"/>
          <w:szCs w:val="44"/>
          <w:u w:val="single"/>
          <w:lang w:val="en-CA"/>
        </w:rPr>
        <w:t>arbon by erosion of coastal and s</w:t>
      </w:r>
      <w:r w:rsidRPr="00AB0262">
        <w:rPr>
          <w:rFonts w:cstheme="minorHAnsi"/>
          <w:sz w:val="28"/>
          <w:szCs w:val="44"/>
          <w:u w:val="single"/>
          <w:lang w:val="en-CA"/>
        </w:rPr>
        <w:t>ubsea permafrost in Arctic Siberia</w:t>
      </w:r>
    </w:p>
    <w:p w:rsidR="00AB0262" w:rsidRDefault="00AB0262" w:rsidP="00AB0262">
      <w:pPr>
        <w:autoSpaceDE w:val="0"/>
        <w:autoSpaceDN w:val="0"/>
        <w:adjustRightInd w:val="0"/>
        <w:spacing w:after="0" w:line="240" w:lineRule="auto"/>
        <w:rPr>
          <w:rFonts w:cstheme="minorHAnsi"/>
          <w:szCs w:val="44"/>
          <w:lang w:val="en-CA"/>
        </w:rPr>
      </w:pPr>
    </w:p>
    <w:p w:rsidR="00AB0262"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 xml:space="preserve">The influence of clay-sized particles on seismic velocity for Canadian </w:t>
      </w:r>
      <w:r>
        <w:rPr>
          <w:rFonts w:cstheme="minorHAnsi"/>
          <w:sz w:val="28"/>
          <w:szCs w:val="44"/>
          <w:u w:val="single"/>
          <w:lang w:val="en-CA"/>
        </w:rPr>
        <w:t>arctic permafrost</w:t>
      </w:r>
    </w:p>
    <w:p w:rsidR="00AB0262" w:rsidRDefault="00AB0262" w:rsidP="00AB0262">
      <w:pPr>
        <w:autoSpaceDE w:val="0"/>
        <w:autoSpaceDN w:val="0"/>
        <w:adjustRightInd w:val="0"/>
        <w:spacing w:after="0" w:line="240" w:lineRule="auto"/>
        <w:rPr>
          <w:rFonts w:cstheme="minorHAnsi"/>
          <w:szCs w:val="44"/>
        </w:rPr>
      </w:pPr>
      <w:r w:rsidRPr="00267D50">
        <w:rPr>
          <w:rFonts w:cstheme="minorHAnsi"/>
          <w:szCs w:val="44"/>
          <w:lang w:val="en-CA"/>
        </w:rPr>
        <w:t xml:space="preserve"> </w:t>
      </w:r>
      <w:r w:rsidRPr="00852DD9">
        <w:rPr>
          <w:rFonts w:cstheme="minorHAnsi"/>
          <w:szCs w:val="44"/>
        </w:rPr>
        <w:t xml:space="preserve">Les ondes compressives </w:t>
      </w:r>
      <w:r w:rsidR="00852DD9" w:rsidRPr="00852DD9">
        <w:rPr>
          <w:rFonts w:cstheme="minorHAnsi"/>
          <w:szCs w:val="44"/>
        </w:rPr>
        <w:t xml:space="preserve">du pergélisol sont fonctions </w:t>
      </w:r>
      <w:r w:rsidR="00852DD9">
        <w:rPr>
          <w:rFonts w:cstheme="minorHAnsi"/>
          <w:szCs w:val="44"/>
        </w:rPr>
        <w:t xml:space="preserve">de la porosité remplie d’eau et est indépendante de la porosité original, la teneur en argile ainsi que la température. </w:t>
      </w:r>
    </w:p>
    <w:p w:rsidR="00852DD9" w:rsidRDefault="00852DD9" w:rsidP="00AB0262">
      <w:pPr>
        <w:autoSpaceDE w:val="0"/>
        <w:autoSpaceDN w:val="0"/>
        <w:adjustRightInd w:val="0"/>
        <w:spacing w:after="0" w:line="240" w:lineRule="auto"/>
        <w:rPr>
          <w:rFonts w:cstheme="minorHAnsi"/>
          <w:szCs w:val="44"/>
        </w:rPr>
      </w:pPr>
      <w:r>
        <w:rPr>
          <w:rFonts w:cstheme="minorHAnsi"/>
          <w:szCs w:val="44"/>
        </w:rPr>
        <w:t>Il y a formation de glace dans les pores lorsque la température va sous les zéro degrés</w:t>
      </w:r>
    </w:p>
    <w:p w:rsidR="00852DD9" w:rsidRDefault="00852DD9" w:rsidP="00AB0262">
      <w:pPr>
        <w:autoSpaceDE w:val="0"/>
        <w:autoSpaceDN w:val="0"/>
        <w:adjustRightInd w:val="0"/>
        <w:spacing w:after="0" w:line="240" w:lineRule="auto"/>
        <w:rPr>
          <w:rFonts w:cstheme="minorHAnsi"/>
          <w:szCs w:val="44"/>
        </w:rPr>
      </w:pPr>
      <w:r>
        <w:rPr>
          <w:rFonts w:cstheme="minorHAnsi"/>
          <w:szCs w:val="44"/>
        </w:rPr>
        <w:t>L’apport de salinité dans l’eau vient réduire le taux de formation de glace sous les zéros degrés</w:t>
      </w:r>
    </w:p>
    <w:p w:rsidR="00852DD9" w:rsidRDefault="00852DD9" w:rsidP="00AB0262">
      <w:pPr>
        <w:autoSpaceDE w:val="0"/>
        <w:autoSpaceDN w:val="0"/>
        <w:adjustRightInd w:val="0"/>
        <w:spacing w:after="0" w:line="240" w:lineRule="auto"/>
        <w:rPr>
          <w:rFonts w:cstheme="minorHAnsi"/>
          <w:szCs w:val="44"/>
        </w:rPr>
      </w:pPr>
    </w:p>
    <w:p w:rsidR="00852DD9" w:rsidRDefault="00852DD9" w:rsidP="00AB0262">
      <w:pPr>
        <w:autoSpaceDE w:val="0"/>
        <w:autoSpaceDN w:val="0"/>
        <w:adjustRightInd w:val="0"/>
        <w:spacing w:after="0" w:line="240" w:lineRule="auto"/>
        <w:rPr>
          <w:rFonts w:cstheme="minorHAnsi"/>
          <w:szCs w:val="44"/>
        </w:rPr>
      </w:pPr>
      <w:r>
        <w:rPr>
          <w:rFonts w:cstheme="minorHAnsi"/>
          <w:szCs w:val="44"/>
        </w:rPr>
        <w:t xml:space="preserve">Fraction de glace dans le pergélisol pour les roches consolidées de pergélisol : </w:t>
      </w:r>
    </w:p>
    <w:p w:rsidR="00852DD9" w:rsidRPr="00852DD9" w:rsidRDefault="00732D92" w:rsidP="00AB0262">
      <w:pPr>
        <w:autoSpaceDE w:val="0"/>
        <w:autoSpaceDN w:val="0"/>
        <w:adjustRightInd w:val="0"/>
        <w:spacing w:after="0" w:line="240" w:lineRule="auto"/>
        <w:rPr>
          <w:rFonts w:eastAsiaTheme="minorEastAsia" w:cstheme="minorHAnsi"/>
          <w:szCs w:val="44"/>
        </w:rPr>
      </w:pPr>
      <m:oMathPara>
        <m:oMath>
          <m:f>
            <m:fPr>
              <m:ctrlPr>
                <w:rPr>
                  <w:rFonts w:ascii="Cambria Math" w:hAnsi="Cambria Math" w:cstheme="minorHAnsi"/>
                  <w:i/>
                  <w:szCs w:val="44"/>
                </w:rPr>
              </m:ctrlPr>
            </m:fPr>
            <m:num>
              <m:r>
                <w:rPr>
                  <w:rFonts w:ascii="Cambria Math" w:hAnsi="Cambria Math" w:cstheme="minorHAnsi"/>
                  <w:szCs w:val="44"/>
                </w:rPr>
                <m:t>1</m:t>
              </m:r>
            </m:num>
            <m:den>
              <m:r>
                <w:rPr>
                  <w:rFonts w:ascii="Cambria Math" w:hAnsi="Cambria Math" w:cstheme="minorHAnsi"/>
                  <w:szCs w:val="44"/>
                </w:rPr>
                <m:t>Vp</m:t>
              </m:r>
            </m:den>
          </m:f>
          <m:r>
            <w:rPr>
              <w:rFonts w:ascii="Cambria Math" w:hAnsi="Cambria Math" w:cstheme="minorHAnsi"/>
              <w:szCs w:val="44"/>
            </w:rPr>
            <m:t xml:space="preserve">= </m:t>
          </m:r>
          <m:f>
            <m:fPr>
              <m:ctrlPr>
                <w:rPr>
                  <w:rFonts w:ascii="Cambria Math" w:hAnsi="Cambria Math" w:cstheme="minorHAnsi"/>
                  <w:i/>
                  <w:szCs w:val="44"/>
                </w:rPr>
              </m:ctrlPr>
            </m:fPr>
            <m:num>
              <m:r>
                <w:rPr>
                  <w:rFonts w:ascii="Cambria Math" w:hAnsi="Cambria Math" w:cstheme="minorHAnsi"/>
                  <w:szCs w:val="44"/>
                </w:rPr>
                <m:t>φ</m:t>
              </m:r>
              <m:d>
                <m:dPr>
                  <m:ctrlPr>
                    <w:rPr>
                      <w:rFonts w:ascii="Cambria Math" w:hAnsi="Cambria Math" w:cstheme="minorHAnsi"/>
                      <w:i/>
                      <w:szCs w:val="44"/>
                    </w:rPr>
                  </m:ctrlPr>
                </m:dPr>
                <m:e>
                  <m:r>
                    <w:rPr>
                      <w:rFonts w:ascii="Cambria Math" w:hAnsi="Cambria Math" w:cstheme="minorHAnsi"/>
                      <w:szCs w:val="44"/>
                    </w:rPr>
                    <m:t>1-Fj</m:t>
                  </m:r>
                </m:e>
              </m:d>
            </m:num>
            <m:den>
              <m:r>
                <w:rPr>
                  <w:rFonts w:ascii="Cambria Math" w:hAnsi="Cambria Math" w:cstheme="minorHAnsi"/>
                  <w:szCs w:val="44"/>
                </w:rPr>
                <m:t>V1</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φFj</m:t>
              </m:r>
            </m:num>
            <m:den>
              <m:r>
                <w:rPr>
                  <w:rFonts w:ascii="Cambria Math" w:hAnsi="Cambria Math" w:cstheme="minorHAnsi"/>
                  <w:szCs w:val="44"/>
                </w:rPr>
                <m:t>Vi</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1-φ</m:t>
              </m:r>
            </m:num>
            <m:den>
              <m:r>
                <w:rPr>
                  <w:rFonts w:ascii="Cambria Math" w:hAnsi="Cambria Math" w:cstheme="minorHAnsi"/>
                  <w:szCs w:val="44"/>
                </w:rPr>
                <m:t>Vm</m:t>
              </m:r>
            </m:den>
          </m:f>
        </m:oMath>
      </m:oMathPara>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Vp : P-wave velocity in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Pr>
          <w:rFonts w:eastAsiaTheme="minorEastAsia" w:cstheme="minorHAnsi"/>
          <w:szCs w:val="44"/>
        </w:rPr>
        <w:t>Φ</w:t>
      </w:r>
      <w:r w:rsidRPr="00852DD9">
        <w:rPr>
          <w:rFonts w:eastAsiaTheme="minorEastAsia" w:cstheme="minorHAnsi"/>
          <w:szCs w:val="44"/>
          <w:lang w:val="en-CA"/>
        </w:rPr>
        <w:t> : P</w:t>
      </w:r>
      <w:r>
        <w:rPr>
          <w:rFonts w:eastAsiaTheme="minorEastAsia" w:cstheme="minorHAnsi"/>
          <w:szCs w:val="44"/>
          <w:lang w:val="en-CA"/>
        </w:rPr>
        <w:t>orosity of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V1 :</w:t>
      </w:r>
      <w:r>
        <w:rPr>
          <w:rFonts w:eastAsiaTheme="minorEastAsia" w:cstheme="minorHAnsi"/>
          <w:szCs w:val="44"/>
          <w:lang w:val="en-CA"/>
        </w:rPr>
        <w:t xml:space="preserve"> P-wave velocity in pore water</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Vi : P-wave velocity in ice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Vm : P-wave velocity in the matrix</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Fi : fraction of ice in the pore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
    <w:p w:rsidR="00D57E06" w:rsidRDefault="00267D50" w:rsidP="00587283">
      <w:pPr>
        <w:tabs>
          <w:tab w:val="left" w:pos="2556"/>
        </w:tabs>
      </w:pPr>
      <w:r w:rsidRPr="00267D50">
        <w:t xml:space="preserve">La fraction de glace contenue dans le pergélisol joue un facteur </w:t>
      </w:r>
      <w:r>
        <w:t xml:space="preserve">essentiel dans la vélocité des ondes de compression sismique. </w:t>
      </w:r>
    </w:p>
    <w:p w:rsidR="00267D50" w:rsidRDefault="00267D50" w:rsidP="00587283">
      <w:pPr>
        <w:tabs>
          <w:tab w:val="left" w:pos="2556"/>
        </w:tabs>
      </w:pPr>
      <w:r>
        <w:lastRenderedPageBreak/>
        <w:t xml:space="preserve">La porosité quant à elle, joue un rôle moins important, mais tout de même non négligeable. </w:t>
      </w:r>
    </w:p>
    <w:p w:rsidR="00267D50" w:rsidRDefault="00267D50" w:rsidP="00587283">
      <w:pPr>
        <w:tabs>
          <w:tab w:val="left" w:pos="2556"/>
        </w:tabs>
      </w:pPr>
      <w:r>
        <w:t xml:space="preserve">La vélocité des ondes sismiques en compression (Vp) varient en fonction de la porosité et de la fraction de glace comme le démontre l’équation suivante : </w:t>
      </w:r>
    </w:p>
    <w:p w:rsidR="00267D50" w:rsidRPr="00267D50" w:rsidRDefault="00267D50" w:rsidP="00587283">
      <w:pPr>
        <w:tabs>
          <w:tab w:val="left" w:pos="2556"/>
        </w:tabs>
        <w:rPr>
          <w:rFonts w:eastAsiaTheme="minorEastAsia"/>
        </w:rPr>
      </w:pPr>
      <m:oMathPara>
        <m:oMath>
          <m:r>
            <w:rPr>
              <w:rFonts w:ascii="Cambria Math" w:hAnsi="Cambria Math"/>
            </w:rPr>
            <m:t>Vp= φ</m:t>
          </m:r>
          <m:d>
            <m:dPr>
              <m:ctrlPr>
                <w:rPr>
                  <w:rFonts w:ascii="Cambria Math" w:hAnsi="Cambria Math"/>
                  <w:i/>
                </w:rPr>
              </m:ctrlPr>
            </m:dPr>
            <m:e>
              <m:r>
                <w:rPr>
                  <w:rFonts w:ascii="Cambria Math" w:hAnsi="Cambria Math"/>
                </w:rPr>
                <m:t>1-Fi</m:t>
              </m:r>
            </m:e>
          </m:d>
        </m:oMath>
      </m:oMathPara>
    </w:p>
    <w:p w:rsidR="00267D50" w:rsidRDefault="00267D50" w:rsidP="00267D50">
      <w:pPr>
        <w:autoSpaceDE w:val="0"/>
        <w:autoSpaceDN w:val="0"/>
        <w:adjustRightInd w:val="0"/>
        <w:spacing w:after="0" w:line="240" w:lineRule="auto"/>
        <w:rPr>
          <w:rFonts w:cstheme="minorHAnsi"/>
          <w:bCs/>
          <w:sz w:val="28"/>
          <w:szCs w:val="25"/>
          <w:u w:val="single"/>
          <w:lang w:val="en-CA"/>
        </w:rPr>
      </w:pPr>
      <w:r w:rsidRPr="00267D50">
        <w:rPr>
          <w:rFonts w:cstheme="minorHAnsi"/>
          <w:bCs/>
          <w:sz w:val="28"/>
          <w:szCs w:val="25"/>
          <w:u w:val="single"/>
          <w:lang w:val="en-CA"/>
        </w:rPr>
        <w:t>Some seismic, electrical, and thermal properties of sub-seabottom permafrost from the Beaufort Sea</w:t>
      </w:r>
    </w:p>
    <w:p w:rsidR="00267D50" w:rsidRPr="00267D50" w:rsidRDefault="00267D50" w:rsidP="00267D50">
      <w:pPr>
        <w:autoSpaceDE w:val="0"/>
        <w:autoSpaceDN w:val="0"/>
        <w:adjustRightInd w:val="0"/>
        <w:spacing w:after="0" w:line="240" w:lineRule="auto"/>
        <w:rPr>
          <w:rFonts w:cstheme="minorHAnsi"/>
          <w:bCs/>
          <w:szCs w:val="25"/>
          <w:lang w:val="en-CA"/>
        </w:rPr>
      </w:pPr>
    </w:p>
    <w:p w:rsidR="00587283" w:rsidRDefault="00267D50">
      <w:r w:rsidRPr="00267D50">
        <w:t xml:space="preserve">En moyenne, la température du pergélisol sous-marin est plus élevée que le pergélisol littoral. </w:t>
      </w:r>
      <w:r>
        <w:t xml:space="preserve">L’article considère dans le résumé que l’eau contenue dans le pergélisol de la zone de Beaufort est faiblement saline puisque les résultats concordent assez bien dans les résultats effectués dans des zones faiblement saline. </w:t>
      </w:r>
    </w:p>
    <w:p w:rsidR="00267D50" w:rsidRDefault="00321CEC">
      <w:r>
        <w:t xml:space="preserve">La vitesse des ondes sismique en compression est plus rapide dans le sable que dans l’argile. </w:t>
      </w:r>
    </w:p>
    <w:p w:rsidR="00321CEC" w:rsidRDefault="00321CEC">
      <w:r>
        <w:t>La résistivité du permafrost diminue drastiquement lorsque la salinité de l’eau dans les pores augmente.</w:t>
      </w:r>
    </w:p>
    <w:p w:rsidR="00321CEC" w:rsidRDefault="00321CEC">
      <w:r>
        <w:t xml:space="preserve">Au final, le pergélisol sous la mer de Beaufort ce comporte sensiblement comme le pergélisol côtier. Toutefois, il existe certaines anomalies locales où la salinité du pergélisol augmente drastiquement. </w:t>
      </w:r>
    </w:p>
    <w:p w:rsidR="00321CEC" w:rsidRDefault="00321CEC" w:rsidP="00321CEC">
      <w:pPr>
        <w:autoSpaceDE w:val="0"/>
        <w:autoSpaceDN w:val="0"/>
        <w:adjustRightInd w:val="0"/>
        <w:spacing w:after="0" w:line="240" w:lineRule="auto"/>
        <w:rPr>
          <w:rFonts w:cstheme="minorHAnsi"/>
          <w:bCs/>
          <w:sz w:val="28"/>
          <w:szCs w:val="30"/>
          <w:u w:val="single"/>
          <w:lang w:val="en-CA"/>
        </w:rPr>
      </w:pPr>
      <w:r w:rsidRPr="00CE4A18">
        <w:rPr>
          <w:rFonts w:cstheme="minorHAnsi"/>
          <w:bCs/>
          <w:sz w:val="28"/>
          <w:szCs w:val="30"/>
          <w:u w:val="single"/>
          <w:lang w:val="en-CA"/>
        </w:rPr>
        <w:t>Effects of submarine groundwater discharge on the present-day extent of relict submarine permafrost and gas hydrate stability on the Beaufort Sea continental shelf</w:t>
      </w:r>
    </w:p>
    <w:p w:rsidR="00CE4A18" w:rsidRDefault="000578CD" w:rsidP="00321CEC">
      <w:pPr>
        <w:autoSpaceDE w:val="0"/>
        <w:autoSpaceDN w:val="0"/>
        <w:adjustRightInd w:val="0"/>
        <w:spacing w:after="0" w:line="240" w:lineRule="auto"/>
        <w:rPr>
          <w:rFonts w:ascii="MyriadPro-Regular" w:hAnsi="MyriadPro-Regular" w:cs="MyriadPro-Regular"/>
          <w:sz w:val="12"/>
          <w:szCs w:val="12"/>
        </w:rPr>
      </w:pPr>
      <w:r>
        <w:rPr>
          <w:rFonts w:cstheme="minorHAnsi"/>
          <w:bCs/>
          <w:szCs w:val="30"/>
        </w:rPr>
        <w:t>Les sédiments qui sont peu gelés sont plus difficilement détectables puisqu’ils illustrent moins de variation intense de changement de vitesse (</w:t>
      </w:r>
      <w:r>
        <w:rPr>
          <w:rFonts w:ascii="MyriadPro-Regular" w:hAnsi="MyriadPro-Regular" w:cs="MyriadPro-Regular"/>
          <w:sz w:val="18"/>
          <w:szCs w:val="18"/>
        </w:rPr>
        <w:t>1524 and 1981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r>
        <w:rPr>
          <w:rFonts w:ascii="MyriadPro-Regular" w:hAnsi="MyriadPro-Regular" w:cs="MyriadPro-Regular"/>
          <w:szCs w:val="12"/>
        </w:rPr>
        <w:t xml:space="preserve">). Tandis que les sédiments qui sont plus gelés ont des valeurs variant de </w:t>
      </w:r>
      <w:r>
        <w:rPr>
          <w:rFonts w:ascii="MyriadPro-Regular" w:hAnsi="MyriadPro-Regular" w:cs="MyriadPro-Regular"/>
          <w:sz w:val="18"/>
          <w:szCs w:val="18"/>
        </w:rPr>
        <w:t>2438 and 4267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p>
    <w:p w:rsidR="000578CD" w:rsidRDefault="000578CD" w:rsidP="00321CEC">
      <w:pPr>
        <w:autoSpaceDE w:val="0"/>
        <w:autoSpaceDN w:val="0"/>
        <w:adjustRightInd w:val="0"/>
        <w:spacing w:after="0" w:line="240" w:lineRule="auto"/>
        <w:rPr>
          <w:rFonts w:cstheme="minorHAnsi"/>
          <w:szCs w:val="12"/>
        </w:rPr>
      </w:pPr>
    </w:p>
    <w:p w:rsidR="000578CD" w:rsidRDefault="000578CD" w:rsidP="00321CEC">
      <w:pPr>
        <w:autoSpaceDE w:val="0"/>
        <w:autoSpaceDN w:val="0"/>
        <w:adjustRightInd w:val="0"/>
        <w:spacing w:after="0" w:line="240" w:lineRule="auto"/>
        <w:rPr>
          <w:rFonts w:cstheme="minorHAnsi"/>
          <w:szCs w:val="12"/>
        </w:rPr>
      </w:pPr>
      <w:r>
        <w:rPr>
          <w:rFonts w:cstheme="minorHAnsi"/>
          <w:szCs w:val="12"/>
        </w:rPr>
        <w:t>Donc les sédiments non gelés sont considérés entre 1700 à 2100 m/s tandis que les gelés ont des vitesses supérieurs à 2300 m/s.</w:t>
      </w:r>
    </w:p>
    <w:p w:rsidR="000578CD" w:rsidRDefault="000578CD" w:rsidP="00321CEC">
      <w:pPr>
        <w:autoSpaceDE w:val="0"/>
        <w:autoSpaceDN w:val="0"/>
        <w:adjustRightInd w:val="0"/>
        <w:spacing w:after="0" w:line="240" w:lineRule="auto"/>
        <w:rPr>
          <w:rFonts w:cstheme="minorHAnsi"/>
          <w:szCs w:val="12"/>
        </w:rPr>
      </w:pPr>
    </w:p>
    <w:p w:rsidR="000578CD" w:rsidRDefault="008A098B" w:rsidP="00321CEC">
      <w:pPr>
        <w:autoSpaceDE w:val="0"/>
        <w:autoSpaceDN w:val="0"/>
        <w:adjustRightInd w:val="0"/>
        <w:spacing w:after="0" w:line="240" w:lineRule="auto"/>
        <w:rPr>
          <w:rFonts w:cstheme="minorHAnsi"/>
          <w:szCs w:val="12"/>
        </w:rPr>
      </w:pPr>
      <w:r>
        <w:rPr>
          <w:rFonts w:cstheme="minorHAnsi"/>
          <w:szCs w:val="12"/>
        </w:rPr>
        <w:t>Article à relire pour information générale…</w:t>
      </w:r>
    </w:p>
    <w:p w:rsidR="008A098B" w:rsidRDefault="008A098B" w:rsidP="00321CEC">
      <w:pPr>
        <w:autoSpaceDE w:val="0"/>
        <w:autoSpaceDN w:val="0"/>
        <w:adjustRightInd w:val="0"/>
        <w:spacing w:after="0" w:line="240" w:lineRule="auto"/>
        <w:rPr>
          <w:rFonts w:cstheme="minorHAnsi"/>
          <w:szCs w:val="12"/>
        </w:rPr>
      </w:pPr>
    </w:p>
    <w:p w:rsidR="008A098B" w:rsidRDefault="008A098B" w:rsidP="008A098B">
      <w:pPr>
        <w:autoSpaceDE w:val="0"/>
        <w:autoSpaceDN w:val="0"/>
        <w:adjustRightInd w:val="0"/>
        <w:spacing w:after="0" w:line="240" w:lineRule="auto"/>
        <w:rPr>
          <w:rFonts w:cstheme="minorHAnsi"/>
          <w:sz w:val="29"/>
          <w:szCs w:val="27"/>
          <w:u w:val="single"/>
          <w:lang w:val="en-CA"/>
        </w:rPr>
      </w:pPr>
      <w:r w:rsidRPr="008A098B">
        <w:rPr>
          <w:rFonts w:cstheme="minorHAnsi"/>
          <w:sz w:val="29"/>
          <w:szCs w:val="27"/>
          <w:u w:val="single"/>
          <w:lang w:val="en-CA"/>
        </w:rPr>
        <w:t>Electrical and seismic response o</w:t>
      </w:r>
      <w:r>
        <w:rPr>
          <w:rFonts w:cstheme="minorHAnsi"/>
          <w:sz w:val="29"/>
          <w:szCs w:val="27"/>
          <w:u w:val="single"/>
          <w:lang w:val="en-CA"/>
        </w:rPr>
        <w:t xml:space="preserve">f saline permafrost soil during </w:t>
      </w:r>
      <w:r w:rsidRPr="008A098B">
        <w:rPr>
          <w:rFonts w:cstheme="minorHAnsi"/>
          <w:sz w:val="29"/>
          <w:szCs w:val="27"/>
          <w:u w:val="single"/>
          <w:lang w:val="en-CA"/>
        </w:rPr>
        <w:t>freeze - Thaw transition</w:t>
      </w:r>
    </w:p>
    <w:p w:rsidR="008A098B" w:rsidRDefault="008A098B" w:rsidP="008A098B">
      <w:pPr>
        <w:autoSpaceDE w:val="0"/>
        <w:autoSpaceDN w:val="0"/>
        <w:adjustRightInd w:val="0"/>
        <w:spacing w:after="0" w:line="240" w:lineRule="auto"/>
        <w:rPr>
          <w:rFonts w:cstheme="minorHAnsi"/>
          <w:szCs w:val="27"/>
        </w:rPr>
      </w:pPr>
      <w:r w:rsidRPr="008A098B">
        <w:rPr>
          <w:rFonts w:cstheme="minorHAnsi"/>
          <w:szCs w:val="27"/>
        </w:rPr>
        <w:t xml:space="preserve">À des temperatures supérieures à 0 degre, les propriétés mécaniques du pergélisol sont </w:t>
      </w:r>
      <w:r>
        <w:rPr>
          <w:rFonts w:cstheme="minorHAnsi"/>
          <w:szCs w:val="27"/>
        </w:rPr>
        <w:t xml:space="preserve">de beaucoup réduite. Cette réduction est d’autant plus importante dans les sols contenant plus de salinité. </w:t>
      </w:r>
    </w:p>
    <w:p w:rsidR="008A098B" w:rsidRDefault="007E1394" w:rsidP="008A098B">
      <w:pPr>
        <w:autoSpaceDE w:val="0"/>
        <w:autoSpaceDN w:val="0"/>
        <w:adjustRightInd w:val="0"/>
        <w:spacing w:after="0" w:line="240" w:lineRule="auto"/>
        <w:rPr>
          <w:rFonts w:cstheme="minorHAnsi"/>
          <w:szCs w:val="27"/>
        </w:rPr>
      </w:pPr>
      <w:r>
        <w:rPr>
          <w:rFonts w:cstheme="minorHAnsi"/>
          <w:szCs w:val="27"/>
        </w:rPr>
        <w:t xml:space="preserve">La résistivité du sol gelée lui une droite linéaire négative qui indique que plus le sol est gelée, plus sa résistivité sera élevée. Arrivé au point de congélation, la résistivité diminue toujours, mais la pente négative est presque nulle. Ainsi, la résistivité tend à se stabiliser. </w:t>
      </w:r>
    </w:p>
    <w:p w:rsidR="007E1394" w:rsidRDefault="007E1394" w:rsidP="008A098B">
      <w:pPr>
        <w:autoSpaceDE w:val="0"/>
        <w:autoSpaceDN w:val="0"/>
        <w:adjustRightInd w:val="0"/>
        <w:spacing w:after="0" w:line="240" w:lineRule="auto"/>
        <w:rPr>
          <w:rFonts w:cstheme="minorHAnsi"/>
          <w:szCs w:val="27"/>
        </w:rPr>
      </w:pPr>
    </w:p>
    <w:p w:rsidR="007E1394" w:rsidRDefault="007E1394" w:rsidP="008A098B">
      <w:pPr>
        <w:autoSpaceDE w:val="0"/>
        <w:autoSpaceDN w:val="0"/>
        <w:adjustRightInd w:val="0"/>
        <w:spacing w:after="0" w:line="240" w:lineRule="auto"/>
        <w:rPr>
          <w:rFonts w:cstheme="minorHAnsi"/>
          <w:szCs w:val="27"/>
        </w:rPr>
      </w:pPr>
      <w:r>
        <w:rPr>
          <w:rFonts w:cstheme="minorHAnsi"/>
          <w:szCs w:val="27"/>
        </w:rPr>
        <w:t>L’atténuation des ondes de cisaillement tend à augmenter lorsque la température du pergélisol augmente. Ainsi, la glace dans l’espace dans vide joue un facteur clé dans le transport dans ondes sismique S.</w:t>
      </w:r>
    </w:p>
    <w:p w:rsidR="007E1394" w:rsidRDefault="007E1394" w:rsidP="008A098B">
      <w:pPr>
        <w:autoSpaceDE w:val="0"/>
        <w:autoSpaceDN w:val="0"/>
        <w:adjustRightInd w:val="0"/>
        <w:spacing w:after="0" w:line="240" w:lineRule="auto"/>
        <w:rPr>
          <w:rFonts w:cstheme="minorHAnsi"/>
          <w:szCs w:val="27"/>
        </w:rPr>
      </w:pPr>
      <w:r>
        <w:rPr>
          <w:rFonts w:cstheme="minorHAnsi"/>
          <w:szCs w:val="27"/>
        </w:rPr>
        <w:lastRenderedPageBreak/>
        <w:t xml:space="preserve">Les modules G et E régressent linéairement lorsque la température du pergélisol augmente. Ces régressions illustrent un changement significatif sur la propagation des ondes sismiques dans les sols. </w:t>
      </w:r>
    </w:p>
    <w:p w:rsidR="007E1394" w:rsidRDefault="007E1394" w:rsidP="007E1394">
      <w:pPr>
        <w:autoSpaceDE w:val="0"/>
        <w:autoSpaceDN w:val="0"/>
        <w:adjustRightInd w:val="0"/>
        <w:spacing w:after="0" w:line="240" w:lineRule="auto"/>
        <w:rPr>
          <w:rFonts w:cstheme="minorHAnsi"/>
          <w:sz w:val="28"/>
          <w:szCs w:val="30"/>
          <w:u w:val="single"/>
          <w:lang w:val="en-CA"/>
        </w:rPr>
      </w:pPr>
      <w:r w:rsidRPr="007E1394">
        <w:rPr>
          <w:rFonts w:cstheme="minorHAnsi"/>
          <w:sz w:val="28"/>
          <w:szCs w:val="30"/>
          <w:u w:val="single"/>
          <w:lang w:val="en-CA"/>
        </w:rPr>
        <w:t xml:space="preserve">Methane release </w:t>
      </w:r>
      <w:r>
        <w:rPr>
          <w:rFonts w:cstheme="minorHAnsi"/>
          <w:sz w:val="28"/>
          <w:szCs w:val="30"/>
          <w:u w:val="single"/>
          <w:lang w:val="en-CA"/>
        </w:rPr>
        <w:t xml:space="preserve">from pingo-like features across the South Kara Sea shelf, an area of thawing </w:t>
      </w:r>
      <w:r w:rsidRPr="007E1394">
        <w:rPr>
          <w:rFonts w:cstheme="minorHAnsi"/>
          <w:sz w:val="28"/>
          <w:szCs w:val="30"/>
          <w:u w:val="single"/>
          <w:lang w:val="en-CA"/>
        </w:rPr>
        <w:t>offshore permafrost</w:t>
      </w:r>
    </w:p>
    <w:p w:rsidR="007E1394" w:rsidRDefault="005A45D8" w:rsidP="007E1394">
      <w:pPr>
        <w:autoSpaceDE w:val="0"/>
        <w:autoSpaceDN w:val="0"/>
        <w:adjustRightInd w:val="0"/>
        <w:spacing w:after="0" w:line="240" w:lineRule="auto"/>
        <w:rPr>
          <w:rFonts w:cstheme="minorHAnsi"/>
          <w:szCs w:val="30"/>
        </w:rPr>
      </w:pPr>
      <w:r w:rsidRPr="005A45D8">
        <w:rPr>
          <w:rFonts w:cstheme="minorHAnsi"/>
          <w:szCs w:val="30"/>
        </w:rPr>
        <w:t xml:space="preserve">Document qui résume la formation de methane dans les pingos et son processus de formation. </w:t>
      </w:r>
    </w:p>
    <w:p w:rsidR="005A45D8" w:rsidRDefault="005A45D8" w:rsidP="007E1394">
      <w:pPr>
        <w:autoSpaceDE w:val="0"/>
        <w:autoSpaceDN w:val="0"/>
        <w:adjustRightInd w:val="0"/>
        <w:spacing w:after="0" w:line="240" w:lineRule="auto"/>
        <w:rPr>
          <w:rFonts w:cstheme="minorHAnsi"/>
          <w:szCs w:val="30"/>
        </w:rPr>
      </w:pPr>
    </w:p>
    <w:p w:rsidR="005A45D8" w:rsidRDefault="005A45D8" w:rsidP="005A45D8">
      <w:pPr>
        <w:autoSpaceDE w:val="0"/>
        <w:autoSpaceDN w:val="0"/>
        <w:adjustRightInd w:val="0"/>
        <w:spacing w:after="0" w:line="240" w:lineRule="auto"/>
        <w:rPr>
          <w:rFonts w:cstheme="minorHAnsi"/>
          <w:sz w:val="28"/>
          <w:szCs w:val="30"/>
          <w:u w:val="single"/>
          <w:lang w:val="en-CA"/>
        </w:rPr>
      </w:pPr>
      <w:r w:rsidRPr="005A45D8">
        <w:rPr>
          <w:rFonts w:cstheme="minorHAnsi"/>
          <w:sz w:val="28"/>
          <w:szCs w:val="30"/>
          <w:u w:val="single"/>
          <w:lang w:val="en-CA"/>
        </w:rPr>
        <w:t xml:space="preserve">Subsea ice-bearing permafrost </w:t>
      </w:r>
      <w:r>
        <w:rPr>
          <w:rFonts w:cstheme="minorHAnsi"/>
          <w:sz w:val="28"/>
          <w:szCs w:val="30"/>
          <w:u w:val="single"/>
          <w:lang w:val="en-CA"/>
        </w:rPr>
        <w:t xml:space="preserve">on the U.S. Beaufort Margin: 1. </w:t>
      </w:r>
      <w:r w:rsidRPr="005A45D8">
        <w:rPr>
          <w:rFonts w:cstheme="minorHAnsi"/>
          <w:sz w:val="28"/>
          <w:szCs w:val="30"/>
          <w:u w:val="single"/>
          <w:lang w:val="en-CA"/>
        </w:rPr>
        <w:t>Minimum seaward extent de</w:t>
      </w:r>
      <w:r>
        <w:rPr>
          <w:rFonts w:cstheme="minorHAnsi"/>
          <w:sz w:val="28"/>
          <w:szCs w:val="30"/>
          <w:u w:val="single"/>
          <w:lang w:val="en-CA"/>
        </w:rPr>
        <w:t xml:space="preserve">fined from multichannel seismic </w:t>
      </w:r>
      <w:r w:rsidRPr="005A45D8">
        <w:rPr>
          <w:rFonts w:cstheme="minorHAnsi"/>
          <w:sz w:val="28"/>
          <w:szCs w:val="30"/>
          <w:u w:val="single"/>
          <w:lang w:val="en-CA"/>
        </w:rPr>
        <w:t>reflection data</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color w:val="231F20"/>
          <w:szCs w:val="18"/>
          <w:lang w:val="en-CA"/>
        </w:rPr>
        <w:t>The term ice-bearing permafrost (</w:t>
      </w:r>
      <w:r w:rsidRPr="005A45D8">
        <w:rPr>
          <w:rFonts w:ascii="AdvOT46dcae81" w:hAnsi="AdvOT46dcae81" w:cs="AdvOT46dcae81"/>
          <w:color w:val="231F20"/>
          <w:szCs w:val="18"/>
          <w:lang w:val="en-CA"/>
        </w:rPr>
        <w:t>IBPF) refers to soil or rock that contains, or is interpreted to contain, ice t</w:t>
      </w:r>
      <w:r>
        <w:rPr>
          <w:rFonts w:ascii="AdvOT46dcae81" w:hAnsi="AdvOT46dcae81" w:cs="AdvOT46dcae81"/>
          <w:color w:val="231F20"/>
          <w:szCs w:val="18"/>
          <w:lang w:val="en-CA"/>
        </w:rPr>
        <w:t xml:space="preserve">hat can be detected without the </w:t>
      </w:r>
      <w:r w:rsidRPr="005A45D8">
        <w:rPr>
          <w:rFonts w:ascii="AdvOT46dcae81" w:hAnsi="AdvOT46dcae81" w:cs="AdvOT46dcae81"/>
          <w:color w:val="231F20"/>
          <w:szCs w:val="18"/>
          <w:lang w:val="en-CA"/>
        </w:rPr>
        <w:t>aid of temperature data [</w:t>
      </w:r>
      <w:r w:rsidRPr="005A45D8">
        <w:rPr>
          <w:rFonts w:ascii="AdvOT65f8a23b.I" w:hAnsi="AdvOT65f8a23b.I" w:cs="AdvOT65f8a23b.I"/>
          <w:color w:val="231F20"/>
          <w:szCs w:val="18"/>
          <w:lang w:val="en-CA"/>
        </w:rPr>
        <w:t>Collett et al</w:t>
      </w:r>
      <w:r w:rsidRPr="005A45D8">
        <w:rPr>
          <w:rFonts w:ascii="AdvOT46dcae81" w:hAnsi="AdvOT46dcae81" w:cs="AdvOT46dcae81"/>
          <w:color w:val="231F20"/>
          <w:szCs w:val="18"/>
          <w:lang w:val="en-CA"/>
        </w:rPr>
        <w:t xml:space="preserve">., 1988; </w:t>
      </w:r>
      <w:r w:rsidRPr="005A45D8">
        <w:rPr>
          <w:rFonts w:ascii="AdvOT65f8a23b.I" w:hAnsi="AdvOT65f8a23b.I" w:cs="AdvOT65f8a23b.I"/>
          <w:color w:val="231F20"/>
          <w:szCs w:val="18"/>
          <w:lang w:val="en-CA"/>
        </w:rPr>
        <w:t>National Snow &amp; Ice Data Center</w:t>
      </w:r>
      <w:r w:rsidRPr="005A45D8">
        <w:rPr>
          <w:rFonts w:ascii="AdvOT46dcae81" w:hAnsi="AdvOT46dcae81" w:cs="AdvOT46dcae81"/>
          <w:color w:val="231F20"/>
          <w:szCs w:val="18"/>
          <w:lang w:val="en-CA"/>
        </w:rPr>
        <w:t>, 2016].</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At these times (Pleistocene) permafro</w:t>
      </w:r>
      <w:r>
        <w:rPr>
          <w:rFonts w:ascii="AdvOT46dcae81" w:hAnsi="AdvOT46dcae81" w:cs="AdvOT46dcae81"/>
          <w:color w:val="231F20"/>
          <w:szCs w:val="18"/>
          <w:lang w:val="en-CA"/>
        </w:rPr>
        <w:t xml:space="preserve">st formed to depths of hundreds </w:t>
      </w:r>
      <w:r w:rsidRPr="005A45D8">
        <w:rPr>
          <w:rFonts w:ascii="AdvOT46dcae81" w:hAnsi="AdvOT46dcae81" w:cs="AdvOT46dcae81"/>
          <w:color w:val="231F20"/>
          <w:szCs w:val="18"/>
          <w:lang w:val="en-CA"/>
        </w:rPr>
        <w:t xml:space="preserve">of meters, potentially intersecting microbially generated gas formed in situ, </w:t>
      </w:r>
      <w:r>
        <w:rPr>
          <w:rFonts w:ascii="AdvOT46dcae81" w:hAnsi="AdvOT46dcae81" w:cs="AdvOT46dcae81"/>
          <w:color w:val="231F20"/>
          <w:szCs w:val="18"/>
          <w:lang w:val="en-CA"/>
        </w:rPr>
        <w:t xml:space="preserve">or gas that had migrated from a </w:t>
      </w:r>
      <w:r w:rsidRPr="005A45D8">
        <w:rPr>
          <w:rFonts w:ascii="AdvOT46dcae81" w:hAnsi="AdvOT46dcae81" w:cs="AdvOT46dcae81"/>
          <w:color w:val="231F20"/>
          <w:szCs w:val="18"/>
          <w:lang w:val="en-CA"/>
        </w:rPr>
        <w:t>deeper thermogenic source. Either situation would enable the formation of gas hydrate [</w:t>
      </w:r>
      <w:r w:rsidRPr="005A45D8">
        <w:rPr>
          <w:rFonts w:ascii="AdvOT65f8a23b.I" w:hAnsi="AdvOT65f8a23b.I" w:cs="AdvOT65f8a23b.I"/>
          <w:color w:val="231F20"/>
          <w:szCs w:val="18"/>
          <w:lang w:val="en-CA"/>
        </w:rPr>
        <w:t>Collett et al</w:t>
      </w:r>
      <w:r w:rsidRPr="005A45D8">
        <w:rPr>
          <w:rFonts w:ascii="AdvOT46dcae81" w:hAnsi="AdvOT46dcae81" w:cs="AdvOT46dcae81"/>
          <w:color w:val="231F20"/>
          <w:szCs w:val="18"/>
          <w:lang w:val="en-CA"/>
        </w:rPr>
        <w:t>.,</w:t>
      </w:r>
      <w:r>
        <w:rPr>
          <w:rFonts w:ascii="AdvOT46dcae81" w:hAnsi="AdvOT46dcae81" w:cs="AdvOT46dcae81"/>
          <w:color w:val="231F20"/>
          <w:szCs w:val="18"/>
          <w:lang w:val="en-CA"/>
        </w:rPr>
        <w:t xml:space="preserve"> 2011; </w:t>
      </w:r>
      <w:r w:rsidRPr="005A45D8">
        <w:rPr>
          <w:rFonts w:ascii="AdvOT65f8a23b.I" w:hAnsi="AdvOT65f8a23b.I" w:cs="AdvOT65f8a23b.I"/>
          <w:color w:val="231F20"/>
          <w:szCs w:val="18"/>
          <w:lang w:val="en-CA"/>
        </w:rPr>
        <w:t>Craig et al</w:t>
      </w:r>
      <w:r w:rsidRPr="005A45D8">
        <w:rPr>
          <w:rFonts w:ascii="AdvOT46dcae81" w:hAnsi="AdvOT46dcae81" w:cs="AdvOT46dcae81"/>
          <w:color w:val="231F20"/>
          <w:szCs w:val="18"/>
          <w:lang w:val="en-CA"/>
        </w:rPr>
        <w:t xml:space="preserve">., 1985; </w:t>
      </w:r>
      <w:r w:rsidRPr="005A45D8">
        <w:rPr>
          <w:rFonts w:ascii="AdvOT65f8a23b.I" w:hAnsi="AdvOT65f8a23b.I" w:cs="AdvOT65f8a23b.I"/>
          <w:color w:val="231F20"/>
          <w:szCs w:val="18"/>
          <w:lang w:val="en-CA"/>
        </w:rPr>
        <w:t>Ruppel</w:t>
      </w:r>
      <w:r w:rsidRPr="005A45D8">
        <w:rPr>
          <w:rFonts w:ascii="AdvOT46dcae81" w:hAnsi="AdvOT46dcae81" w:cs="AdvOT46dcae81"/>
          <w:color w:val="231F20"/>
          <w:szCs w:val="18"/>
          <w:lang w:val="en-CA"/>
        </w:rPr>
        <w:t>, 2015]. During subsequent sea-level high stands, perma</w:t>
      </w:r>
      <w:r>
        <w:rPr>
          <w:rFonts w:ascii="AdvOT46dcae81" w:hAnsi="AdvOT46dcae81" w:cs="AdvOT46dcae81"/>
          <w:color w:val="231F20"/>
          <w:szCs w:val="18"/>
          <w:lang w:val="en-CA"/>
        </w:rPr>
        <w:t xml:space="preserve">frost was exposed to conditions </w:t>
      </w:r>
      <w:r w:rsidRPr="005A45D8">
        <w:rPr>
          <w:rFonts w:ascii="AdvOT46dcae81" w:hAnsi="AdvOT46dcae81" w:cs="AdvOT46dcae81"/>
          <w:color w:val="231F20"/>
          <w:szCs w:val="18"/>
          <w:lang w:val="en-CA"/>
        </w:rPr>
        <w:t>conducive to thawing (i.e., increased temperatures and saline intrusion).</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Researchers have used a variety of data sources to map the presence o</w:t>
      </w:r>
      <w:r>
        <w:rPr>
          <w:rFonts w:ascii="AdvOT46dcae81" w:hAnsi="AdvOT46dcae81" w:cs="AdvOT46dcae81"/>
          <w:color w:val="231F20"/>
          <w:szCs w:val="18"/>
          <w:lang w:val="en-CA"/>
        </w:rPr>
        <w:t xml:space="preserve">f subsea permafrost (supporting </w:t>
      </w:r>
      <w:r w:rsidRPr="005A45D8">
        <w:rPr>
          <w:rFonts w:ascii="AdvOT46dcae81" w:hAnsi="AdvOT46dcae81" w:cs="AdvOT46dcae81"/>
          <w:color w:val="231F20"/>
          <w:szCs w:val="18"/>
          <w:lang w:val="en-CA"/>
        </w:rPr>
        <w:t>information). Laboratory and field studies indicate that the P-wave velocit</w:t>
      </w:r>
      <w:r>
        <w:rPr>
          <w:rFonts w:ascii="AdvOT46dcae81" w:hAnsi="AdvOT46dcae81" w:cs="AdvOT46dcae81"/>
          <w:color w:val="231F20"/>
          <w:szCs w:val="18"/>
          <w:lang w:val="en-CA"/>
        </w:rPr>
        <w:t xml:space="preserve">y of ice-bearing coarse-grained </w:t>
      </w:r>
      <w:r w:rsidRPr="005A45D8">
        <w:rPr>
          <w:rFonts w:ascii="AdvOT46dcae81" w:hAnsi="AdvOT46dcae81" w:cs="AdvOT46dcae81"/>
          <w:color w:val="231F20"/>
          <w:szCs w:val="18"/>
          <w:lang w:val="en-CA"/>
        </w:rPr>
        <w:t>sediments strongly depends on the saturation of ice in pore space. Ice-bonded coarse-grained sedimen</w:t>
      </w:r>
      <w:r>
        <w:rPr>
          <w:rFonts w:ascii="AdvOT46dcae81" w:hAnsi="AdvOT46dcae81" w:cs="AdvOT46dcae81"/>
          <w:color w:val="231F20"/>
          <w:szCs w:val="18"/>
          <w:lang w:val="en-CA"/>
        </w:rPr>
        <w:t xml:space="preserve">ts </w:t>
      </w:r>
      <w:r w:rsidRPr="005A45D8">
        <w:rPr>
          <w:rFonts w:ascii="AdvOT46dcae81" w:hAnsi="AdvOT46dcae81" w:cs="AdvOT46dcae81"/>
          <w:color w:val="231F20"/>
          <w:szCs w:val="18"/>
          <w:lang w:val="en-CA"/>
        </w:rPr>
        <w:t xml:space="preserve">have velocities from </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to 5000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Rogers and Morack</w:t>
      </w:r>
      <w:r w:rsidRPr="005A45D8">
        <w:rPr>
          <w:rFonts w:ascii="AdvOT46dcae81" w:hAnsi="AdvOT46dcae81" w:cs="AdvOT46dcae81"/>
          <w:color w:val="231F20"/>
          <w:szCs w:val="18"/>
          <w:lang w:val="en-CA"/>
        </w:rPr>
        <w:t xml:space="preserve">, 1980; </w:t>
      </w:r>
      <w:r w:rsidRPr="005A45D8">
        <w:rPr>
          <w:rFonts w:ascii="AdvOT65f8a23b.I" w:hAnsi="AdvOT65f8a23b.I" w:cs="AdvOT65f8a23b.I"/>
          <w:color w:val="231F20"/>
          <w:szCs w:val="18"/>
          <w:lang w:val="en-CA"/>
        </w:rPr>
        <w:t>Timur</w:t>
      </w:r>
      <w:r w:rsidRPr="005A45D8">
        <w:rPr>
          <w:rFonts w:ascii="AdvOT46dcae81" w:hAnsi="AdvOT46dcae81" w:cs="AdvOT46dcae81"/>
          <w:color w:val="231F20"/>
          <w:szCs w:val="18"/>
          <w:lang w:val="en-CA"/>
        </w:rPr>
        <w:t xml:space="preserve">, 1968; </w:t>
      </w:r>
      <w:r w:rsidRPr="005A45D8">
        <w:rPr>
          <w:rFonts w:ascii="AdvOT65f8a23b.I" w:hAnsi="AdvOT65f8a23b.I" w:cs="AdvOT65f8a23b.I"/>
          <w:color w:val="231F20"/>
          <w:szCs w:val="18"/>
          <w:lang w:val="en-CA"/>
        </w:rPr>
        <w:t>Zimmerman and King</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1986]. On the U.S. and Canadian Beaufort shelf, near-surface unfrozen coarse-gr</w:t>
      </w:r>
      <w:r>
        <w:rPr>
          <w:rFonts w:ascii="AdvOT46dcae81" w:hAnsi="AdvOT46dcae81" w:cs="AdvOT46dcae81"/>
          <w:color w:val="231F20"/>
          <w:szCs w:val="18"/>
          <w:lang w:val="en-CA"/>
        </w:rPr>
        <w:t xml:space="preserve">ained sediments have velocities </w:t>
      </w:r>
      <w:r w:rsidRPr="005A45D8">
        <w:rPr>
          <w:rFonts w:ascii="AdvOT46dcae81" w:hAnsi="AdvOT46dcae81" w:cs="AdvOT46dcae81"/>
          <w:color w:val="231F20"/>
          <w:szCs w:val="18"/>
          <w:lang w:val="en-CA"/>
        </w:rPr>
        <w:t>of 1700–1900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Hunter et al</w:t>
      </w:r>
      <w:r w:rsidRPr="005A45D8">
        <w:rPr>
          <w:rFonts w:ascii="AdvOT46dcae81" w:hAnsi="AdvOT46dcae81" w:cs="AdvOT46dcae81"/>
          <w:color w:val="231F20"/>
          <w:szCs w:val="18"/>
          <w:lang w:val="en-CA"/>
        </w:rPr>
        <w:t xml:space="preserve">., 1978; </w:t>
      </w:r>
      <w:r w:rsidRPr="005A45D8">
        <w:rPr>
          <w:rFonts w:ascii="AdvOT65f8a23b.I" w:hAnsi="AdvOT65f8a23b.I" w:cs="AdvOT65f8a23b.I"/>
          <w:color w:val="231F20"/>
          <w:szCs w:val="18"/>
          <w:lang w:val="en-CA"/>
        </w:rPr>
        <w:t>Morack and Rogers</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Neave and Sellman</w:t>
      </w:r>
      <w:r>
        <w:rPr>
          <w:rFonts w:ascii="AdvOT46dcae81" w:hAnsi="AdvOT46dcae81" w:cs="AdvOT46dcae81"/>
          <w:color w:val="231F20"/>
          <w:szCs w:val="18"/>
          <w:lang w:val="en-CA"/>
        </w:rPr>
        <w:t xml:space="preserve">, 1982]. Using this </w:t>
      </w:r>
      <w:r w:rsidRPr="005A45D8">
        <w:rPr>
          <w:rFonts w:ascii="AdvOT46dcae81" w:hAnsi="AdvOT46dcae81" w:cs="AdvOT46dcae81"/>
          <w:color w:val="231F20"/>
          <w:szCs w:val="18"/>
          <w:lang w:val="en-CA"/>
        </w:rPr>
        <w:t>velocity contrast between unfrozen and frozen sediments, researchers have interpr</w:t>
      </w:r>
      <w:r>
        <w:rPr>
          <w:rFonts w:ascii="AdvOT46dcae81" w:hAnsi="AdvOT46dcae81" w:cs="AdvOT46dcae81"/>
          <w:color w:val="231F20"/>
          <w:szCs w:val="18"/>
          <w:lang w:val="en-CA"/>
        </w:rPr>
        <w:t xml:space="preserve">eted high velocity refractions, </w:t>
      </w:r>
      <w:r w:rsidRPr="005A45D8">
        <w:rPr>
          <w:rFonts w:ascii="AdvOT46dcae81" w:hAnsi="AdvOT46dcae81" w:cs="AdvOT46dcae81"/>
          <w:color w:val="231F20"/>
          <w:szCs w:val="18"/>
          <w:lang w:val="en-CA"/>
        </w:rPr>
        <w:t>identified in MCS data, as subsea IBPF [</w:t>
      </w:r>
      <w:r w:rsidRPr="005A45D8">
        <w:rPr>
          <w:rFonts w:ascii="AdvOT65f8a23b.I" w:hAnsi="AdvOT65f8a23b.I" w:cs="AdvOT65f8a23b.I"/>
          <w:color w:val="231F20"/>
          <w:szCs w:val="18"/>
          <w:lang w:val="en-CA"/>
        </w:rPr>
        <w:t>Brothers et al</w:t>
      </w:r>
      <w:r w:rsidRPr="005A45D8">
        <w:rPr>
          <w:rFonts w:ascii="AdvOT46dcae81" w:hAnsi="AdvOT46dcae81" w:cs="AdvOT46dcae81"/>
          <w:color w:val="231F20"/>
          <w:szCs w:val="18"/>
          <w:lang w:val="en-CA"/>
        </w:rPr>
        <w:t xml:space="preserve">., 2012; </w:t>
      </w:r>
      <w:r w:rsidRPr="005A45D8">
        <w:rPr>
          <w:rFonts w:ascii="AdvOT65f8a23b.I" w:hAnsi="AdvOT65f8a23b.I" w:cs="AdvOT65f8a23b.I"/>
          <w:color w:val="231F20"/>
          <w:szCs w:val="18"/>
          <w:lang w:val="en-CA"/>
        </w:rPr>
        <w:t>Hunter and Hobson</w:t>
      </w:r>
      <w:r w:rsidRPr="005A45D8">
        <w:rPr>
          <w:rFonts w:ascii="AdvOT46dcae81" w:hAnsi="AdvOT46dcae81" w:cs="AdvOT46dcae81"/>
          <w:color w:val="231F20"/>
          <w:szCs w:val="18"/>
          <w:lang w:val="en-CA"/>
        </w:rPr>
        <w:t xml:space="preserve">, 1974; </w:t>
      </w:r>
      <w:r w:rsidRPr="005A45D8">
        <w:rPr>
          <w:rFonts w:ascii="AdvOT65f8a23b.I" w:hAnsi="AdvOT65f8a23b.I" w:cs="AdvOT65f8a23b.I"/>
          <w:color w:val="231F20"/>
          <w:szCs w:val="18"/>
          <w:lang w:val="en-CA"/>
        </w:rPr>
        <w:t>Hunter et al</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 xml:space="preserve">1978; </w:t>
      </w:r>
      <w:r w:rsidRPr="005A45D8">
        <w:rPr>
          <w:rFonts w:ascii="AdvOT65f8a23b.I" w:hAnsi="AdvOT65f8a23b.I" w:cs="AdvOT65f8a23b.I"/>
          <w:color w:val="231F20"/>
          <w:szCs w:val="18"/>
          <w:lang w:val="en-CA"/>
        </w:rPr>
        <w:t>MacAulay and Hunter</w:t>
      </w:r>
      <w:r w:rsidRPr="005A45D8">
        <w:rPr>
          <w:rFonts w:ascii="AdvOT46dcae81" w:hAnsi="AdvOT46dcae81" w:cs="AdvOT46dcae81"/>
          <w:color w:val="231F20"/>
          <w:szCs w:val="18"/>
          <w:lang w:val="en-CA"/>
        </w:rPr>
        <w:t xml:space="preserve">, 1983; </w:t>
      </w:r>
      <w:r w:rsidRPr="005A45D8">
        <w:rPr>
          <w:rFonts w:ascii="AdvOT65f8a23b.I" w:hAnsi="AdvOT65f8a23b.I" w:cs="AdvOT65f8a23b.I"/>
          <w:color w:val="231F20"/>
          <w:szCs w:val="18"/>
          <w:lang w:val="en-CA"/>
        </w:rPr>
        <w:t>Neave and Sellman</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Pullan et al</w:t>
      </w:r>
      <w:r w:rsidRPr="005A45D8">
        <w:rPr>
          <w:rFonts w:ascii="AdvOT46dcae81" w:hAnsi="AdvOT46dcae81" w:cs="AdvOT46dcae81"/>
          <w:color w:val="231F20"/>
          <w:szCs w:val="18"/>
          <w:lang w:val="en-CA"/>
        </w:rPr>
        <w:t xml:space="preserve">., 1987]. </w:t>
      </w:r>
      <w:r w:rsidRPr="005A45D8">
        <w:rPr>
          <w:rFonts w:ascii="AdvOT65f8a23b.I" w:hAnsi="AdvOT65f8a23b.I" w:cs="AdvOT65f8a23b.I"/>
          <w:color w:val="231F20"/>
          <w:szCs w:val="18"/>
          <w:lang w:val="en-CA"/>
        </w:rPr>
        <w:t>Brothers et al</w:t>
      </w:r>
      <w:r>
        <w:rPr>
          <w:rFonts w:ascii="AdvOT46dcae81" w:hAnsi="AdvOT46dcae81" w:cs="AdvOT46dcae81"/>
          <w:color w:val="231F20"/>
          <w:szCs w:val="18"/>
          <w:lang w:val="en-CA"/>
        </w:rPr>
        <w:t xml:space="preserve">. [2012] found </w:t>
      </w:r>
      <w:r w:rsidRPr="005A45D8">
        <w:rPr>
          <w:rFonts w:ascii="AdvOT46dcae81" w:hAnsi="AdvOT46dcae81" w:cs="AdvOT46dcae81"/>
          <w:color w:val="231F20"/>
          <w:szCs w:val="18"/>
          <w:lang w:val="en-CA"/>
        </w:rPr>
        <w:t>velocity values ranging from 1700 to 4600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along the U.S. Beaufort cont</w:t>
      </w:r>
      <w:r>
        <w:rPr>
          <w:rFonts w:ascii="AdvOT46dcae81" w:hAnsi="AdvOT46dcae81" w:cs="AdvOT46dcae81"/>
          <w:color w:val="231F20"/>
          <w:szCs w:val="18"/>
          <w:lang w:val="en-CA"/>
        </w:rPr>
        <w:t xml:space="preserve">inental shelf. They interpreted </w:t>
      </w:r>
      <w:r w:rsidRPr="005A45D8">
        <w:rPr>
          <w:rFonts w:ascii="AdvOT46dcae81" w:hAnsi="AdvOT46dcae81" w:cs="AdvOT46dcae81"/>
          <w:color w:val="231F20"/>
          <w:szCs w:val="18"/>
          <w:lang w:val="en-CA"/>
        </w:rPr>
        <w:t>refractions in the upper 400 m of the sedimentary column with velocities</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as strata hosting IBPF</w:t>
      </w:r>
      <w:r>
        <w:rPr>
          <w:rFonts w:ascii="AdvOT46dcae81" w:hAnsi="AdvOT46dcae81" w:cs="AdvOT46dcae81"/>
          <w:color w:val="231F20"/>
          <w:szCs w:val="18"/>
          <w:lang w:val="en-CA"/>
        </w:rPr>
        <w:t>.</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P80675" w:hAnsi="AdvP80675" w:cs="AdvP80675"/>
          <w:color w:val="231F20"/>
          <w:szCs w:val="18"/>
          <w:lang w:val="en-CA"/>
        </w:rPr>
      </w:pPr>
      <w:r w:rsidRPr="00DB442F">
        <w:rPr>
          <w:rFonts w:ascii="AdvOT65f8a23b.I" w:hAnsi="AdvOT65f8a23b.I" w:cs="AdvOT65f8a23b.I"/>
          <w:color w:val="231F20"/>
          <w:szCs w:val="18"/>
          <w:lang w:val="en-CA"/>
        </w:rPr>
        <w:t>Vsed</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Vave</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750 </w:t>
      </w:r>
      <w:r w:rsidRPr="00DB442F">
        <w:rPr>
          <w:rFonts w:ascii="AdvOT65f8a23b.I" w:hAnsi="AdvOT65f8a23b.I" w:cs="AdvOT65f8a23b.I"/>
          <w:color w:val="231F20"/>
          <w:szCs w:val="18"/>
          <w:lang w:val="en-CA"/>
        </w:rPr>
        <w:t>ms) – (Vwc</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w:t>
      </w:r>
      <w:r w:rsidRPr="00DB442F">
        <w:rPr>
          <w:rFonts w:ascii="AdvOT65f8a23b.I" w:hAnsi="AdvOT65f8a23b.I" w:cs="AdvOT65f8a23b.I"/>
          <w:color w:val="231F20"/>
          <w:szCs w:val="18"/>
          <w:lang w:val="en-CA"/>
        </w:rPr>
        <w:t>Twc</w:t>
      </w:r>
      <w:r w:rsidRPr="00DB442F">
        <w:rPr>
          <w:rFonts w:ascii="AdvP4C4E46" w:hAnsi="AdvP4C4E46" w:cs="AdvP4C4E46"/>
          <w:color w:val="231F20"/>
          <w:szCs w:val="18"/>
          <w:lang w:val="en-CA"/>
        </w:rPr>
        <w:t>))/</w:t>
      </w:r>
      <w:r w:rsidRPr="00DB442F">
        <w:rPr>
          <w:rFonts w:ascii="AdvOT46dcae81" w:hAnsi="AdvOT46dcae81" w:cs="AdvOT46dcae81"/>
          <w:color w:val="231F20"/>
          <w:szCs w:val="18"/>
          <w:lang w:val="en-CA"/>
        </w:rPr>
        <w:t xml:space="preserve"> 750 </w:t>
      </w:r>
      <w:r w:rsidRPr="00DB442F">
        <w:rPr>
          <w:rFonts w:ascii="AdvOT65f8a23b.I" w:hAnsi="AdvOT65f8a23b.I" w:cs="AdvOT65f8a23b.I"/>
          <w:color w:val="231F20"/>
          <w:szCs w:val="18"/>
          <w:lang w:val="en-CA"/>
        </w:rPr>
        <w:t>ms</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Twc</w:t>
      </w:r>
    </w:p>
    <w:p w:rsidR="005A45D8"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P4C4E51" w:hAnsi="AdvP4C4E51" w:cs="AdvP4C4E51"/>
          <w:color w:val="231F20"/>
          <w:szCs w:val="18"/>
          <w:lang w:val="en-CA"/>
        </w:rPr>
        <w:t xml:space="preserve">; </w:t>
      </w:r>
      <w:r>
        <w:rPr>
          <w:rFonts w:ascii="AdvOT46dcae81" w:hAnsi="AdvOT46dcae81" w:cs="AdvOT46dcae81"/>
          <w:color w:val="231F20"/>
          <w:szCs w:val="18"/>
          <w:lang w:val="en-CA"/>
        </w:rPr>
        <w:t xml:space="preserve">(1) </w:t>
      </w:r>
      <w:r w:rsidRPr="00DB442F">
        <w:rPr>
          <w:rFonts w:ascii="AdvOT46dcae81" w:hAnsi="AdvOT46dcae81" w:cs="AdvOT46dcae81"/>
          <w:color w:val="231F20"/>
          <w:szCs w:val="18"/>
          <w:lang w:val="en-CA"/>
        </w:rPr>
        <w:t xml:space="preserve">where </w:t>
      </w:r>
      <w:r w:rsidRPr="00DB442F">
        <w:rPr>
          <w:rFonts w:ascii="AdvOT65f8a23b.I" w:hAnsi="AdvOT65f8a23b.I" w:cs="AdvOT65f8a23b.I"/>
          <w:color w:val="231F20"/>
          <w:szCs w:val="18"/>
          <w:lang w:val="en-CA"/>
        </w:rPr>
        <w:t>Vsed</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sediment column velocity, </w:t>
      </w:r>
      <w:r w:rsidRPr="00DB442F">
        <w:rPr>
          <w:rFonts w:ascii="AdvOT65f8a23b.I" w:hAnsi="AdvOT65f8a23b.I" w:cs="AdvOT65f8a23b.I"/>
          <w:color w:val="231F20"/>
          <w:szCs w:val="18"/>
          <w:lang w:val="en-CA"/>
        </w:rPr>
        <w:t>Vave</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velocity from 0 to 750 ms TWTT, </w:t>
      </w:r>
      <w:r w:rsidRPr="00DB442F">
        <w:rPr>
          <w:rFonts w:ascii="AdvOT65f8a23b.I" w:hAnsi="AdvOT65f8a23b.I" w:cs="AdvOT65f8a23b.I"/>
          <w:color w:val="231F20"/>
          <w:szCs w:val="18"/>
          <w:lang w:val="en-CA"/>
        </w:rPr>
        <w:t>Vwc</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velocity 1475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sidRPr="00DB442F">
        <w:rPr>
          <w:rFonts w:ascii="AdvOT46dcae81" w:hAnsi="AdvOT46dcae81" w:cs="AdvOT46dcae81"/>
          <w:color w:val="231F20"/>
          <w:szCs w:val="18"/>
          <w:lang w:val="en-CA"/>
        </w:rPr>
        <w:t xml:space="preserve">, and </w:t>
      </w:r>
      <w:r w:rsidRPr="00DB442F">
        <w:rPr>
          <w:rFonts w:ascii="AdvOT65f8a23b.I" w:hAnsi="AdvOT65f8a23b.I" w:cs="AdvOT65f8a23b.I"/>
          <w:color w:val="231F20"/>
          <w:szCs w:val="18"/>
          <w:lang w:val="en-CA"/>
        </w:rPr>
        <w:t>Twc</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interval TWTT.</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OT3b30f6db.B" w:hAnsi="AdvOT3b30f6db.B" w:cs="AdvOT3b30f6db.B"/>
          <w:color w:val="004174"/>
          <w:lang w:val="en-CA"/>
        </w:rPr>
      </w:pPr>
      <w:r w:rsidRPr="00DB442F">
        <w:rPr>
          <w:rFonts w:ascii="AdvOT3b30f6db.B" w:hAnsi="AdvOT3b30f6db.B" w:cs="AdvOT3b30f6db.B"/>
          <w:color w:val="004174"/>
          <w:lang w:val="en-CA"/>
        </w:rPr>
        <w:t>4. Velocity Observations</w:t>
      </w:r>
    </w:p>
    <w:p w:rsidR="00DB442F" w:rsidRP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t>Average sediment column velocities (Vsed) range from 1475 to 3110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Pr>
          <w:rFonts w:ascii="AdvOT46dcae81" w:hAnsi="AdvOT46dcae81" w:cs="AdvOT46dcae81"/>
          <w:color w:val="231F20"/>
          <w:szCs w:val="18"/>
          <w:lang w:val="en-CA"/>
        </w:rPr>
        <w:t xml:space="preserve">, with higher velocities </w:t>
      </w:r>
      <w:r w:rsidRPr="00DB442F">
        <w:rPr>
          <w:rFonts w:ascii="AdvOT46dcae81" w:hAnsi="AdvOT46dcae81" w:cs="AdvOT46dcae81"/>
          <w:color w:val="231F20"/>
          <w:szCs w:val="18"/>
          <w:lang w:val="en-CA"/>
        </w:rPr>
        <w:t>coinciding with the nearshore areas (Figure 3). The character and gradient of contours c</w:t>
      </w:r>
      <w:r>
        <w:rPr>
          <w:rFonts w:ascii="AdvOT46dcae81" w:hAnsi="AdvOT46dcae81" w:cs="AdvOT46dcae81"/>
          <w:color w:val="231F20"/>
          <w:szCs w:val="18"/>
          <w:lang w:val="en-CA"/>
        </w:rPr>
        <w:t xml:space="preserve">hange offshore </w:t>
      </w:r>
      <w:r w:rsidRPr="00DB442F">
        <w:rPr>
          <w:rFonts w:ascii="AdvOT46dcae81" w:hAnsi="AdvOT46dcae81" w:cs="AdvOT46dcae81"/>
          <w:color w:val="231F20"/>
          <w:szCs w:val="18"/>
          <w:lang w:val="en-CA"/>
        </w:rPr>
        <w:t>and alongshore. Velocity contours</w:t>
      </w:r>
      <w:r w:rsidRPr="00DB442F">
        <w:rPr>
          <w:rFonts w:ascii="AdvP4C4E74" w:hAnsi="AdvP4C4E74" w:cs="AdvP4C4E74"/>
          <w:color w:val="231F20"/>
          <w:szCs w:val="18"/>
          <w:lang w:val="en-CA"/>
        </w:rPr>
        <w:t>_</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are tightly spaced (1–</w:t>
      </w:r>
      <w:r>
        <w:rPr>
          <w:rFonts w:ascii="AdvOT46dcae81" w:hAnsi="AdvOT46dcae81" w:cs="AdvOT46dcae81"/>
          <w:color w:val="231F20"/>
          <w:szCs w:val="18"/>
          <w:lang w:val="en-CA"/>
        </w:rPr>
        <w:t xml:space="preserve">8 km apart) and sub parallel </w:t>
      </w:r>
      <w:r w:rsidRPr="00DB442F">
        <w:rPr>
          <w:rFonts w:ascii="AdvOT46dcae81" w:hAnsi="AdvOT46dcae81" w:cs="AdvOT46dcae81"/>
          <w:color w:val="231F20"/>
          <w:szCs w:val="18"/>
          <w:lang w:val="en-CA"/>
        </w:rPr>
        <w:t>with the modern coastline along most of the U.S. Beaufort. Seaward of 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Pr>
          <w:rFonts w:ascii="AdvOT46dcae81" w:hAnsi="AdvOT46dcae81" w:cs="AdvOT46dcae81"/>
          <w:color w:val="231F20"/>
          <w:szCs w:val="18"/>
          <w:lang w:val="en-CA"/>
        </w:rPr>
        <w:t xml:space="preserve">contour this </w:t>
      </w:r>
      <w:r w:rsidRPr="00DB442F">
        <w:rPr>
          <w:rFonts w:ascii="AdvOT46dcae81" w:hAnsi="AdvOT46dcae81" w:cs="AdvOT46dcae81"/>
          <w:color w:val="231F20"/>
          <w:szCs w:val="18"/>
          <w:lang w:val="en-CA"/>
        </w:rPr>
        <w:t xml:space="preserve">pattern abruptly changes (Figure 3). Velocity contours </w:t>
      </w:r>
      <w:r w:rsidRPr="00DB442F">
        <w:rPr>
          <w:rFonts w:ascii="AdvP4C4E51" w:hAnsi="AdvP4C4E51" w:cs="AdvP4C4E51"/>
          <w:color w:val="231F20"/>
          <w:szCs w:val="18"/>
          <w:lang w:val="en-CA"/>
        </w:rPr>
        <w:t>&lt;</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w:t>
      </w:r>
      <w:r>
        <w:rPr>
          <w:rFonts w:ascii="AdvOT46dcae81" w:hAnsi="AdvOT46dcae81" w:cs="AdvOT46dcae81"/>
          <w:color w:val="231F20"/>
          <w:szCs w:val="18"/>
          <w:lang w:val="en-CA"/>
        </w:rPr>
        <w:t>re spaced more widely apart (up t</w:t>
      </w:r>
      <w:r w:rsidRPr="00DB442F">
        <w:rPr>
          <w:rFonts w:ascii="AdvOT46dcae81" w:hAnsi="AdvOT46dcae81" w:cs="AdvOT46dcae81"/>
          <w:color w:val="231F20"/>
          <w:szCs w:val="18"/>
          <w:lang w:val="en-CA"/>
        </w:rPr>
        <w:t>o 90 km). In the mid and outer-shelf, the contours are crenulated an</w:t>
      </w:r>
      <w:r>
        <w:rPr>
          <w:rFonts w:ascii="AdvOT46dcae81" w:hAnsi="AdvOT46dcae81" w:cs="AdvOT46dcae81"/>
          <w:color w:val="231F20"/>
          <w:szCs w:val="18"/>
          <w:lang w:val="en-CA"/>
        </w:rPr>
        <w:t xml:space="preserve">d can be punctuated by zones of </w:t>
      </w:r>
      <w:r w:rsidRPr="00DB442F">
        <w:rPr>
          <w:rFonts w:ascii="AdvOT46dcae81" w:hAnsi="AdvOT46dcae81" w:cs="AdvOT46dcae81"/>
          <w:color w:val="231F20"/>
          <w:szCs w:val="18"/>
          <w:lang w:val="en-CA"/>
        </w:rPr>
        <w:t>relatively higher bulk velocities. The first derivative, or slope, of the mapped velocities, highlights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lastRenderedPageBreak/>
        <w:t>where velocity changes the most rapidly in the study area (Figure 4). Velocity changes the most rapidly along the modern shoreline, at the shelf edge and along Barrow Cany</w:t>
      </w:r>
      <w:r>
        <w:rPr>
          <w:rFonts w:ascii="AdvOT46dcae81" w:hAnsi="AdvOT46dcae81" w:cs="AdvOT46dcae81"/>
          <w:color w:val="231F20"/>
          <w:szCs w:val="18"/>
          <w:lang w:val="en-CA"/>
        </w:rPr>
        <w:t xml:space="preserve">on (Figure 3). Rapid changes in </w:t>
      </w:r>
      <w:r w:rsidRPr="00DB442F">
        <w:rPr>
          <w:rFonts w:ascii="AdvOT46dcae81" w:hAnsi="AdvOT46dcae81" w:cs="AdvOT46dcae81"/>
          <w:color w:val="231F20"/>
          <w:szCs w:val="18"/>
          <w:lang w:val="en-CA"/>
        </w:rPr>
        <w:t>velocity along the shelf edge and Barrow Canyon likely reflect the dimi</w:t>
      </w:r>
      <w:r>
        <w:rPr>
          <w:rFonts w:ascii="AdvOT46dcae81" w:hAnsi="AdvOT46dcae81" w:cs="AdvOT46dcae81"/>
          <w:color w:val="231F20"/>
          <w:szCs w:val="18"/>
          <w:lang w:val="en-CA"/>
        </w:rPr>
        <w:t xml:space="preserve">nution of sediment in the upper </w:t>
      </w:r>
      <w:r w:rsidRPr="00DB442F">
        <w:rPr>
          <w:rFonts w:ascii="AdvOT46dcae81" w:hAnsi="AdvOT46dcae81" w:cs="AdvOT46dcae81"/>
          <w:color w:val="231F20"/>
          <w:szCs w:val="18"/>
          <w:lang w:val="en-CA"/>
        </w:rPr>
        <w:t>750 ms TWTT as the water depth plunges in those areas. The shelf’s veloci</w:t>
      </w:r>
      <w:r>
        <w:rPr>
          <w:rFonts w:ascii="AdvOT46dcae81" w:hAnsi="AdvOT46dcae81" w:cs="AdvOT46dcae81"/>
          <w:color w:val="231F20"/>
          <w:szCs w:val="18"/>
          <w:lang w:val="en-CA"/>
        </w:rPr>
        <w:t xml:space="preserve">ty pattern flattens abruptly at </w:t>
      </w:r>
      <w:r w:rsidRPr="00DB442F">
        <w:rPr>
          <w:rFonts w:ascii="AdvOT46dcae81" w:hAnsi="AdvOT46dcae81" w:cs="AdvOT46dcae81"/>
          <w:color w:val="231F20"/>
          <w:szCs w:val="18"/>
          <w:lang w:val="en-CA"/>
        </w:rPr>
        <w:t>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contour over the entire U.S. Beaufort continental shelf (Figures 3–5).</w:t>
      </w:r>
    </w:p>
    <w:p w:rsidR="00AE246C"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14:anchorId="6461BF8D" wp14:editId="14FE79F0">
            <wp:extent cx="5486400" cy="3028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028315"/>
                    </a:xfrm>
                    <a:prstGeom prst="rect">
                      <a:avLst/>
                    </a:prstGeom>
                  </pic:spPr>
                </pic:pic>
              </a:graphicData>
            </a:graphic>
          </wp:inline>
        </w:drawing>
      </w:r>
      <w:r>
        <w:rPr>
          <w:rFonts w:ascii="AdvOT46dcae81" w:hAnsi="AdvOT46dcae81" w:cs="AdvOT46dcae81"/>
          <w:noProof/>
          <w:color w:val="231F20"/>
          <w:szCs w:val="18"/>
          <w:lang w:eastAsia="fr-CA"/>
        </w:rPr>
        <w:drawing>
          <wp:inline distT="0" distB="0" distL="0" distR="0" wp14:anchorId="70573E04" wp14:editId="5DF32366">
            <wp:extent cx="5486400" cy="2952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952115"/>
                    </a:xfrm>
                    <a:prstGeom prst="rect">
                      <a:avLst/>
                    </a:prstGeom>
                  </pic:spPr>
                </pic:pic>
              </a:graphicData>
            </a:graphic>
          </wp:inline>
        </w:drawing>
      </w:r>
    </w:p>
    <w:p w:rsidR="00AE246C" w:rsidRDefault="00AE246C" w:rsidP="00AE246C">
      <w:pPr>
        <w:rPr>
          <w:rFonts w:ascii="AdvOT46dcae81" w:hAnsi="AdvOT46dcae81" w:cs="AdvOT46dcae81"/>
          <w:szCs w:val="18"/>
          <w:lang w:val="en-CA"/>
        </w:rPr>
      </w:pPr>
    </w:p>
    <w:p w:rsidR="00DB442F" w:rsidRDefault="00AE246C" w:rsidP="00AE246C">
      <w:pPr>
        <w:rPr>
          <w:rFonts w:ascii="AdvOT46dcae81" w:hAnsi="AdvOT46dcae81" w:cs="AdvOT46dcae81"/>
          <w:szCs w:val="18"/>
        </w:rPr>
      </w:pPr>
      <w:r w:rsidRPr="00AE246C">
        <w:rPr>
          <w:rFonts w:ascii="AdvOT46dcae81" w:hAnsi="AdvOT46dcae81" w:cs="AdvOT46dcae81"/>
          <w:szCs w:val="18"/>
        </w:rPr>
        <w:t xml:space="preserve">Les données recueillies sont meilleures pour le littoral que la mer. </w:t>
      </w:r>
    </w:p>
    <w:p w:rsidR="00AE246C" w:rsidRDefault="00AE246C" w:rsidP="00AE246C">
      <w:pPr>
        <w:rPr>
          <w:rFonts w:ascii="AdvOT46dcae81" w:hAnsi="AdvOT46dcae81" w:cs="AdvOT46dcae81"/>
          <w:szCs w:val="18"/>
        </w:rPr>
      </w:pPr>
      <w:r>
        <w:rPr>
          <w:rFonts w:ascii="AdvOT46dcae81" w:hAnsi="AdvOT46dcae81" w:cs="AdvOT46dcae81"/>
          <w:szCs w:val="18"/>
        </w:rPr>
        <w:t>Les vitesses les plus rapides concordent avec les épaisseurs apparentes.</w:t>
      </w:r>
    </w:p>
    <w:p w:rsidR="00AE246C" w:rsidRDefault="00AE246C" w:rsidP="00AE246C">
      <w:pPr>
        <w:rPr>
          <w:rFonts w:ascii="AdvOT46dcae81" w:hAnsi="AdvOT46dcae81" w:cs="AdvOT46dcae81"/>
          <w:szCs w:val="18"/>
        </w:rPr>
      </w:pPr>
      <w:r>
        <w:rPr>
          <w:rFonts w:ascii="AdvOT46dcae81" w:hAnsi="AdvOT46dcae81" w:cs="AdvOT46dcae81"/>
          <w:szCs w:val="18"/>
        </w:rPr>
        <w:t>La hauteur d’eau impact sur les vélocités mesurées.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lastRenderedPageBreak/>
        <w:drawing>
          <wp:inline distT="0" distB="0" distL="0" distR="0">
            <wp:extent cx="4259580" cy="57683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JPG"/>
                    <pic:cNvPicPr/>
                  </pic:nvPicPr>
                  <pic:blipFill>
                    <a:blip r:embed="rId9">
                      <a:extLst>
                        <a:ext uri="{28A0092B-C50C-407E-A947-70E740481C1C}">
                          <a14:useLocalDpi xmlns:a14="http://schemas.microsoft.com/office/drawing/2010/main" val="0"/>
                        </a:ext>
                      </a:extLst>
                    </a:blip>
                    <a:stretch>
                      <a:fillRect/>
                    </a:stretch>
                  </pic:blipFill>
                  <pic:spPr>
                    <a:xfrm>
                      <a:off x="0" y="0"/>
                      <a:ext cx="4259580" cy="5768340"/>
                    </a:xfrm>
                    <a:prstGeom prst="rect">
                      <a:avLst/>
                    </a:prstGeom>
                  </pic:spPr>
                </pic:pic>
              </a:graphicData>
            </a:graphic>
          </wp:inline>
        </w:drawing>
      </w:r>
    </w:p>
    <w:p w:rsidR="00DB442F" w:rsidRDefault="00AE246C" w:rsidP="00AE246C">
      <w:pPr>
        <w:autoSpaceDE w:val="0"/>
        <w:autoSpaceDN w:val="0"/>
        <w:adjustRightInd w:val="0"/>
        <w:spacing w:after="0" w:line="240" w:lineRule="auto"/>
        <w:rPr>
          <w:rFonts w:ascii="AdvOT46dcae81" w:hAnsi="AdvOT46dcae81" w:cs="AdvOT46dcae81"/>
          <w:color w:val="231F20"/>
          <w:szCs w:val="18"/>
          <w:lang w:val="en-CA"/>
        </w:rPr>
      </w:pPr>
      <w:r w:rsidRPr="00AE246C">
        <w:rPr>
          <w:rFonts w:ascii="AdvOT65f8a23b.I" w:hAnsi="AdvOT65f8a23b.I" w:cs="AdvOT65f8a23b.I"/>
          <w:color w:val="231F20"/>
          <w:szCs w:val="18"/>
          <w:lang w:val="en-CA"/>
        </w:rPr>
        <w:t>Portnov et al</w:t>
      </w:r>
      <w:r w:rsidRPr="00AE246C">
        <w:rPr>
          <w:rFonts w:ascii="AdvOT46dcae81" w:hAnsi="AdvOT46dcae81" w:cs="AdvOT46dcae81"/>
          <w:color w:val="231F20"/>
          <w:szCs w:val="18"/>
          <w:lang w:val="en-CA"/>
        </w:rPr>
        <w:t>. [2013]</w:t>
      </w:r>
      <w:r>
        <w:rPr>
          <w:rFonts w:ascii="AdvOT46dcae81" w:hAnsi="AdvOT46dcae81" w:cs="AdvOT46dcae81"/>
          <w:color w:val="231F20"/>
          <w:szCs w:val="18"/>
          <w:lang w:val="en-CA"/>
        </w:rPr>
        <w:t xml:space="preserve"> suggest that continuous subsea </w:t>
      </w:r>
      <w:r w:rsidRPr="00AE246C">
        <w:rPr>
          <w:rFonts w:ascii="AdvOT46dcae81" w:hAnsi="AdvOT46dcae81" w:cs="AdvOT46dcae81"/>
          <w:color w:val="231F20"/>
          <w:szCs w:val="18"/>
          <w:lang w:val="en-CA"/>
        </w:rPr>
        <w:t>permafrost acts as a seal for gas sourced below the permafrost (e.g., from ga</w:t>
      </w:r>
      <w:r>
        <w:rPr>
          <w:rFonts w:ascii="AdvOT46dcae81" w:hAnsi="AdvOT46dcae81" w:cs="AdvOT46dcae81"/>
          <w:color w:val="231F20"/>
          <w:szCs w:val="18"/>
          <w:lang w:val="en-CA"/>
        </w:rPr>
        <w:t xml:space="preserve">s hydrate or deeper thermogenic </w:t>
      </w:r>
      <w:r w:rsidRPr="00AE246C">
        <w:rPr>
          <w:rFonts w:ascii="AdvOT46dcae81" w:hAnsi="AdvOT46dcae81" w:cs="AdvOT46dcae81"/>
          <w:color w:val="231F20"/>
          <w:szCs w:val="18"/>
          <w:lang w:val="en-CA"/>
        </w:rPr>
        <w:t xml:space="preserve">sources) and with degradation gas migrates up along the seaward edge of continuous </w:t>
      </w:r>
      <w:r>
        <w:rPr>
          <w:rFonts w:ascii="AdvOT46dcae81" w:hAnsi="AdvOT46dcae81" w:cs="AdvOT46dcae81"/>
          <w:color w:val="231F20"/>
          <w:szCs w:val="18"/>
          <w:lang w:val="en-CA"/>
        </w:rPr>
        <w:t xml:space="preserve">subsea permafrost. </w:t>
      </w:r>
      <w:r w:rsidRPr="00AE246C">
        <w:rPr>
          <w:rFonts w:ascii="AdvOT46dcae81" w:hAnsi="AdvOT46dcae81" w:cs="AdvOT46dcae81"/>
          <w:color w:val="231F20"/>
          <w:szCs w:val="18"/>
          <w:lang w:val="en-CA"/>
        </w:rPr>
        <w:t>Both the Canadian Beaufort and the West Kara shelves host ping</w:t>
      </w:r>
      <w:r>
        <w:rPr>
          <w:rFonts w:ascii="AdvOT46dcae81" w:hAnsi="AdvOT46dcae81" w:cs="AdvOT46dcae81"/>
          <w:color w:val="231F20"/>
          <w:szCs w:val="18"/>
          <w:lang w:val="en-CA"/>
        </w:rPr>
        <w:t xml:space="preserve">o-like features associated with </w:t>
      </w:r>
      <w:r w:rsidRPr="00AE246C">
        <w:rPr>
          <w:rFonts w:ascii="AdvOT46dcae81" w:hAnsi="AdvOT46dcae81" w:cs="AdvOT46dcae81"/>
          <w:color w:val="231F20"/>
          <w:szCs w:val="18"/>
          <w:lang w:val="en-CA"/>
        </w:rPr>
        <w:t>seabed fluid escape [</w:t>
      </w:r>
      <w:r w:rsidRPr="00AE246C">
        <w:rPr>
          <w:rFonts w:ascii="AdvOT65f8a23b.I" w:hAnsi="AdvOT65f8a23b.I" w:cs="AdvOT65f8a23b.I"/>
          <w:color w:val="231F20"/>
          <w:szCs w:val="18"/>
          <w:lang w:val="en-CA"/>
        </w:rPr>
        <w:t>Paull et al</w:t>
      </w:r>
      <w:r w:rsidRPr="00AE246C">
        <w:rPr>
          <w:rFonts w:ascii="AdvOT46dcae81" w:hAnsi="AdvOT46dcae81" w:cs="AdvOT46dcae81"/>
          <w:color w:val="231F20"/>
          <w:szCs w:val="18"/>
          <w:lang w:val="en-CA"/>
        </w:rPr>
        <w:t xml:space="preserve">., 2007; </w:t>
      </w:r>
      <w:r w:rsidRPr="00AE246C">
        <w:rPr>
          <w:rFonts w:ascii="AdvOT65f8a23b.I" w:hAnsi="AdvOT65f8a23b.I" w:cs="AdvOT65f8a23b.I"/>
          <w:color w:val="231F20"/>
          <w:szCs w:val="18"/>
          <w:lang w:val="en-CA"/>
        </w:rPr>
        <w:t>Portnov et al</w:t>
      </w:r>
      <w:r w:rsidRPr="00AE246C">
        <w:rPr>
          <w:rFonts w:ascii="AdvOT46dcae81" w:hAnsi="AdvOT46dcae81" w:cs="AdvOT46dcae81"/>
          <w:color w:val="231F20"/>
          <w:szCs w:val="18"/>
          <w:lang w:val="en-CA"/>
        </w:rPr>
        <w:t xml:space="preserve">., 2013; </w:t>
      </w:r>
      <w:r w:rsidRPr="00AE246C">
        <w:rPr>
          <w:rFonts w:ascii="AdvOT65f8a23b.I" w:hAnsi="AdvOT65f8a23b.I" w:cs="AdvOT65f8a23b.I"/>
          <w:color w:val="231F20"/>
          <w:szCs w:val="18"/>
          <w:lang w:val="en-CA"/>
        </w:rPr>
        <w:t>Serov et al</w:t>
      </w:r>
      <w:r w:rsidRPr="00AE246C">
        <w:rPr>
          <w:rFonts w:ascii="AdvOT46dcae81" w:hAnsi="AdvOT46dcae81" w:cs="AdvOT46dcae81"/>
          <w:color w:val="231F20"/>
          <w:szCs w:val="18"/>
          <w:lang w:val="en-CA"/>
        </w:rPr>
        <w:t>., 2015]. Tho</w:t>
      </w:r>
      <w:r>
        <w:rPr>
          <w:rFonts w:ascii="AdvOT46dcae81" w:hAnsi="AdvOT46dcae81" w:cs="AdvOT46dcae81"/>
          <w:color w:val="231F20"/>
          <w:szCs w:val="18"/>
          <w:lang w:val="en-CA"/>
        </w:rPr>
        <w:t xml:space="preserve">ugh neither pingo-like features </w:t>
      </w:r>
      <w:r w:rsidRPr="00AE246C">
        <w:rPr>
          <w:rFonts w:ascii="AdvOT46dcae81" w:hAnsi="AdvOT46dcae81" w:cs="AdvOT46dcae81"/>
          <w:color w:val="231F20"/>
          <w:szCs w:val="18"/>
          <w:lang w:val="en-CA"/>
        </w:rPr>
        <w:t xml:space="preserve">nor seafloor degassing have ever been observed on the U.S. Beaufort, </w:t>
      </w:r>
      <w:r>
        <w:rPr>
          <w:rFonts w:ascii="AdvOT46dcae81" w:hAnsi="AdvOT46dcae81" w:cs="AdvOT46dcae81"/>
          <w:color w:val="231F20"/>
          <w:szCs w:val="18"/>
          <w:lang w:val="en-CA"/>
        </w:rPr>
        <w:t xml:space="preserve">we suggest that the vicinity of </w:t>
      </w:r>
      <w:r w:rsidRPr="00AE246C">
        <w:rPr>
          <w:rFonts w:ascii="AdvOT46dcae81" w:hAnsi="AdvOT46dcae81" w:cs="AdvOT46dcae81"/>
          <w:color w:val="231F20"/>
          <w:szCs w:val="18"/>
          <w:lang w:val="en-CA"/>
        </w:rPr>
        <w:t>the 2000 m s</w:t>
      </w:r>
      <w:r w:rsidRPr="00AE246C">
        <w:rPr>
          <w:rFonts w:ascii="AdvP80675" w:hAnsi="AdvP80675" w:cs="AdvP80675"/>
          <w:color w:val="231F20"/>
          <w:sz w:val="16"/>
          <w:szCs w:val="12"/>
          <w:lang w:val="en-CA"/>
        </w:rPr>
        <w:t>2</w:t>
      </w:r>
      <w:r w:rsidRPr="00AE246C">
        <w:rPr>
          <w:rFonts w:ascii="AdvOT46dcae81" w:hAnsi="AdvOT46dcae81" w:cs="AdvOT46dcae81"/>
          <w:color w:val="231F20"/>
          <w:sz w:val="16"/>
          <w:szCs w:val="12"/>
          <w:lang w:val="en-CA"/>
        </w:rPr>
        <w:t xml:space="preserve">1 </w:t>
      </w:r>
      <w:r w:rsidRPr="00AE246C">
        <w:rPr>
          <w:rFonts w:ascii="AdvOT46dcae81" w:hAnsi="AdvOT46dcae81" w:cs="AdvOT46dcae81"/>
          <w:color w:val="231F20"/>
          <w:szCs w:val="18"/>
          <w:lang w:val="en-CA"/>
        </w:rPr>
        <w:t>contour is the locus at which degassing related to IBPF degradation is most likely to occur.</w:t>
      </w:r>
    </w:p>
    <w:p w:rsidR="00A04824" w:rsidRP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Using the stacking velocities from 100,000 km of industry seismic data, we</w:t>
      </w:r>
      <w:r>
        <w:rPr>
          <w:rFonts w:ascii="AdvOT46dcae81" w:hAnsi="AdvOT46dcae81" w:cs="AdvOT46dcae81"/>
          <w:color w:val="231F20"/>
          <w:szCs w:val="18"/>
          <w:lang w:val="en-CA"/>
        </w:rPr>
        <w:t xml:space="preserve"> infer that the continuous IBPF </w:t>
      </w:r>
      <w:r w:rsidRPr="00A04824">
        <w:rPr>
          <w:rFonts w:ascii="AdvOT46dcae81" w:hAnsi="AdvOT46dcae81" w:cs="AdvOT46dcae81"/>
          <w:color w:val="231F20"/>
          <w:szCs w:val="18"/>
          <w:lang w:val="en-CA"/>
        </w:rPr>
        <w:t>sequence exists close to shore along the entire extent of the U.S. Beaufort margin and thins rapidly seaward.</w:t>
      </w:r>
    </w:p>
    <w:p w:rsidR="00AE246C"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The interpreted seaward edge of this continuous IBPF, the 2000 m s</w:t>
      </w:r>
      <w:r w:rsidRPr="00A04824">
        <w:rPr>
          <w:rFonts w:ascii="AdvP80675" w:hAnsi="AdvP80675" w:cs="AdvP80675"/>
          <w:color w:val="231F20"/>
          <w:sz w:val="16"/>
          <w:szCs w:val="12"/>
          <w:lang w:val="en-CA"/>
        </w:rPr>
        <w:t>2</w:t>
      </w:r>
      <w:r w:rsidRPr="00A04824">
        <w:rPr>
          <w:rFonts w:ascii="AdvOT46dcae81" w:hAnsi="AdvOT46dcae81" w:cs="AdvOT46dcae81"/>
          <w:color w:val="231F20"/>
          <w:sz w:val="16"/>
          <w:szCs w:val="12"/>
          <w:lang w:val="en-CA"/>
        </w:rPr>
        <w:t xml:space="preserve">1 </w:t>
      </w:r>
      <w:r w:rsidRPr="00A04824">
        <w:rPr>
          <w:rFonts w:ascii="AdvOT46dcae81" w:hAnsi="AdvOT46dcae81" w:cs="AdvOT46dcae81"/>
          <w:color w:val="231F20"/>
          <w:szCs w:val="18"/>
          <w:lang w:val="en-CA"/>
        </w:rPr>
        <w:t>contour, is everywhere at contemporary</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water depths of less than 25 m, and within 37 km of the modern shoreline. Our method produces a</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 xml:space="preserve">shelf-scale map of minimum areal distribution </w:t>
      </w:r>
      <w:r w:rsidRPr="00A04824">
        <w:rPr>
          <w:rFonts w:ascii="AdvOT46dcae81" w:hAnsi="AdvOT46dcae81" w:cs="AdvOT46dcae81"/>
          <w:color w:val="231F20"/>
          <w:szCs w:val="18"/>
          <w:lang w:val="en-CA"/>
        </w:rPr>
        <w:lastRenderedPageBreak/>
        <w:t xml:space="preserve">of ice-bearing permafrost. </w:t>
      </w:r>
      <w:r>
        <w:rPr>
          <w:rFonts w:ascii="AdvOT46dcae81" w:hAnsi="AdvOT46dcae81" w:cs="AdvOT46dcae81"/>
          <w:color w:val="231F20"/>
          <w:szCs w:val="18"/>
          <w:lang w:val="en-CA"/>
        </w:rPr>
        <w:t xml:space="preserve">Seaward of the continuous IBPF, </w:t>
      </w:r>
      <w:r w:rsidRPr="00A04824">
        <w:rPr>
          <w:rFonts w:ascii="AdvOT46dcae81" w:hAnsi="AdvOT46dcae81" w:cs="AdvOT46dcae81"/>
          <w:color w:val="231F20"/>
          <w:szCs w:val="18"/>
          <w:lang w:val="en-CA"/>
        </w:rPr>
        <w:t xml:space="preserve">permafrost or relict IBPF may exist in small quantities. Our results show that </w:t>
      </w:r>
      <w:r>
        <w:rPr>
          <w:rFonts w:ascii="AdvOT46dcae81" w:hAnsi="AdvOT46dcae81" w:cs="AdvOT46dcae81"/>
          <w:color w:val="231F20"/>
          <w:szCs w:val="18"/>
          <w:lang w:val="en-CA"/>
        </w:rPr>
        <w:t xml:space="preserve">U.S. Beaufort subsea permafrost </w:t>
      </w:r>
      <w:r w:rsidRPr="00A04824">
        <w:rPr>
          <w:rFonts w:ascii="AdvOT46dcae81" w:hAnsi="AdvOT46dcae81" w:cs="AdvOT46dcae81"/>
          <w:color w:val="231F20"/>
          <w:szCs w:val="18"/>
          <w:lang w:val="en-CA"/>
        </w:rPr>
        <w:t>has degraded substantially since Pleistocene lowstand and, when taken i</w:t>
      </w:r>
      <w:r>
        <w:rPr>
          <w:rFonts w:ascii="AdvOT46dcae81" w:hAnsi="AdvOT46dcae81" w:cs="AdvOT46dcae81"/>
          <w:color w:val="231F20"/>
          <w:szCs w:val="18"/>
          <w:lang w:val="en-CA"/>
        </w:rPr>
        <w:t xml:space="preserve">nto account with other regional </w:t>
      </w:r>
      <w:r w:rsidRPr="00A04824">
        <w:rPr>
          <w:rFonts w:ascii="AdvOT46dcae81" w:hAnsi="AdvOT46dcae81" w:cs="AdvOT46dcae81"/>
          <w:color w:val="231F20"/>
          <w:szCs w:val="18"/>
          <w:lang w:val="en-CA"/>
        </w:rPr>
        <w:t>observations, the shelf-edge should be dismissed as the presumed extent of continuous IBPF.</w:t>
      </w: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extent cx="5486400" cy="26949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94940"/>
                    </a:xfrm>
                    <a:prstGeom prst="rect">
                      <a:avLst/>
                    </a:prstGeom>
                  </pic:spPr>
                </pic:pic>
              </a:graphicData>
            </a:graphic>
          </wp:inline>
        </w:drawing>
      </w:r>
    </w:p>
    <w:p w:rsidR="00A04824" w:rsidRDefault="00A04824" w:rsidP="00A04824">
      <w:pPr>
        <w:rPr>
          <w:rFonts w:ascii="AdvOT46dcae81" w:hAnsi="AdvOT46dcae81" w:cs="AdvOT46dcae81"/>
          <w:szCs w:val="18"/>
          <w:lang w:val="en-CA"/>
        </w:rPr>
      </w:pPr>
    </w:p>
    <w:p w:rsidR="00A04824" w:rsidRPr="00A04824" w:rsidRDefault="00A04824" w:rsidP="00A04824">
      <w:pPr>
        <w:autoSpaceDE w:val="0"/>
        <w:autoSpaceDN w:val="0"/>
        <w:adjustRightInd w:val="0"/>
        <w:spacing w:after="0" w:line="240" w:lineRule="auto"/>
        <w:rPr>
          <w:rFonts w:cstheme="minorHAnsi"/>
          <w:sz w:val="28"/>
          <w:szCs w:val="28"/>
          <w:u w:val="single"/>
          <w:lang w:val="en-CA"/>
        </w:rPr>
      </w:pPr>
      <w:r w:rsidRPr="00A04824">
        <w:rPr>
          <w:rFonts w:cstheme="minorHAnsi"/>
          <w:sz w:val="28"/>
          <w:szCs w:val="28"/>
          <w:u w:val="single"/>
          <w:lang w:val="en-CA"/>
        </w:rPr>
        <w:t>A rock-physics investigation of unconsolidated saline permafrost: P-wave</w:t>
      </w:r>
    </w:p>
    <w:p w:rsidR="00A04824" w:rsidRDefault="00A04824" w:rsidP="00A04824">
      <w:pPr>
        <w:rPr>
          <w:rFonts w:cstheme="minorHAnsi"/>
          <w:sz w:val="28"/>
          <w:szCs w:val="28"/>
          <w:u w:val="single"/>
        </w:rPr>
      </w:pPr>
      <w:r w:rsidRPr="00A04824">
        <w:rPr>
          <w:rFonts w:cstheme="minorHAnsi"/>
          <w:sz w:val="28"/>
          <w:szCs w:val="28"/>
          <w:u w:val="single"/>
        </w:rPr>
        <w:t>properties from laboratory ultrasonic measurements</w:t>
      </w:r>
    </w:p>
    <w:p w:rsidR="00287CE7" w:rsidRDefault="00287CE7" w:rsidP="00A04824">
      <w:pPr>
        <w:rPr>
          <w:rFonts w:cstheme="minorHAnsi"/>
          <w:szCs w:val="28"/>
        </w:rPr>
      </w:pPr>
      <w:r>
        <w:rPr>
          <w:rFonts w:cstheme="minorHAnsi"/>
          <w:szCs w:val="28"/>
        </w:rPr>
        <w:t xml:space="preserve">Le pergélisol est partiellement gelée lorsqu’il y a du sel dans l’eau en raison du point eutectique de -21 degrés du sel. Il peut y avoir du dégel du pergélisol salé sous des températures inférieures à 0 degré. Le pergélisol est aussi moins résistant lorsqu’il est salé. </w:t>
      </w:r>
    </w:p>
    <w:p w:rsidR="00287CE7" w:rsidRDefault="00287CE7" w:rsidP="00A04824">
      <w:pPr>
        <w:rPr>
          <w:rFonts w:cstheme="minorHAnsi"/>
          <w:szCs w:val="28"/>
        </w:rPr>
      </w:pPr>
      <w:r>
        <w:rPr>
          <w:rFonts w:cstheme="minorHAnsi"/>
          <w:noProof/>
          <w:szCs w:val="28"/>
          <w:lang w:eastAsia="fr-CA"/>
        </w:rPr>
        <w:drawing>
          <wp:inline distT="0" distB="0" distL="0" distR="0">
            <wp:extent cx="2948940" cy="225387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5.JPG"/>
                    <pic:cNvPicPr/>
                  </pic:nvPicPr>
                  <pic:blipFill>
                    <a:blip r:embed="rId11">
                      <a:extLst>
                        <a:ext uri="{28A0092B-C50C-407E-A947-70E740481C1C}">
                          <a14:useLocalDpi xmlns:a14="http://schemas.microsoft.com/office/drawing/2010/main" val="0"/>
                        </a:ext>
                      </a:extLst>
                    </a:blip>
                    <a:stretch>
                      <a:fillRect/>
                    </a:stretch>
                  </pic:blipFill>
                  <pic:spPr>
                    <a:xfrm>
                      <a:off x="0" y="0"/>
                      <a:ext cx="2964950" cy="2266106"/>
                    </a:xfrm>
                    <a:prstGeom prst="rect">
                      <a:avLst/>
                    </a:prstGeom>
                  </pic:spPr>
                </pic:pic>
              </a:graphicData>
            </a:graphic>
          </wp:inline>
        </w:drawing>
      </w:r>
    </w:p>
    <w:p w:rsidR="00287CE7" w:rsidRDefault="00287CE7" w:rsidP="00287CE7">
      <w:pPr>
        <w:autoSpaceDE w:val="0"/>
        <w:autoSpaceDN w:val="0"/>
        <w:adjustRightInd w:val="0"/>
        <w:spacing w:after="0" w:line="240" w:lineRule="auto"/>
        <w:rPr>
          <w:rFonts w:cstheme="minorHAnsi"/>
          <w:sz w:val="24"/>
          <w:szCs w:val="20"/>
          <w:u w:val="single"/>
          <w:lang w:val="en-CA"/>
        </w:rPr>
      </w:pPr>
      <w:r w:rsidRPr="00287CE7">
        <w:rPr>
          <w:rFonts w:cstheme="minorHAnsi"/>
          <w:sz w:val="24"/>
          <w:szCs w:val="20"/>
          <w:u w:val="single"/>
          <w:lang w:val="en-CA"/>
        </w:rPr>
        <w:t>Mechanisms for unfrozen water to remain liquid below freezing</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Dissolved salt</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Surface effects : Capillary, adsorption, </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Super cooling </w:t>
      </w:r>
    </w:p>
    <w:p w:rsidR="001848AA" w:rsidRPr="001848AA" w:rsidRDefault="001848AA" w:rsidP="001848AA">
      <w:pPr>
        <w:autoSpaceDE w:val="0"/>
        <w:autoSpaceDN w:val="0"/>
        <w:adjustRightInd w:val="0"/>
        <w:spacing w:after="0" w:line="240" w:lineRule="auto"/>
        <w:rPr>
          <w:rFonts w:cstheme="minorHAnsi"/>
          <w:szCs w:val="20"/>
          <w:lang w:val="en-CA"/>
        </w:rPr>
      </w:pPr>
      <w:r>
        <w:rPr>
          <w:rFonts w:cstheme="minorHAnsi"/>
          <w:noProof/>
          <w:szCs w:val="20"/>
          <w:lang w:eastAsia="fr-CA"/>
        </w:rPr>
        <w:lastRenderedPageBreak/>
        <w:drawing>
          <wp:inline distT="0" distB="0" distL="0" distR="0">
            <wp:extent cx="5006340" cy="34442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 6.JPG"/>
                    <pic:cNvPicPr/>
                  </pic:nvPicPr>
                  <pic:blipFill>
                    <a:blip r:embed="rId12">
                      <a:extLst>
                        <a:ext uri="{28A0092B-C50C-407E-A947-70E740481C1C}">
                          <a14:useLocalDpi xmlns:a14="http://schemas.microsoft.com/office/drawing/2010/main" val="0"/>
                        </a:ext>
                      </a:extLst>
                    </a:blip>
                    <a:stretch>
                      <a:fillRect/>
                    </a:stretch>
                  </pic:blipFill>
                  <pic:spPr>
                    <a:xfrm>
                      <a:off x="0" y="0"/>
                      <a:ext cx="5006340" cy="3444240"/>
                    </a:xfrm>
                    <a:prstGeom prst="rect">
                      <a:avLst/>
                    </a:prstGeom>
                  </pic:spPr>
                </pic:pic>
              </a:graphicData>
            </a:graphic>
          </wp:inline>
        </w:drawing>
      </w:r>
    </w:p>
    <w:p w:rsidR="00287CE7" w:rsidRDefault="00287CE7" w:rsidP="00287CE7">
      <w:pPr>
        <w:autoSpaceDE w:val="0"/>
        <w:autoSpaceDN w:val="0"/>
        <w:adjustRightInd w:val="0"/>
        <w:spacing w:after="0" w:line="240" w:lineRule="auto"/>
        <w:rPr>
          <w:rFonts w:cstheme="minorHAnsi"/>
          <w:szCs w:val="20"/>
          <w:lang w:val="en-CA"/>
        </w:rPr>
      </w:pPr>
    </w:p>
    <w:p w:rsidR="001848AA" w:rsidRDefault="001848AA" w:rsidP="001848AA">
      <w:pPr>
        <w:autoSpaceDE w:val="0"/>
        <w:autoSpaceDN w:val="0"/>
        <w:adjustRightInd w:val="0"/>
        <w:spacing w:after="0" w:line="240" w:lineRule="auto"/>
        <w:rPr>
          <w:rFonts w:ascii="AdvTT3c2d9f11" w:hAnsi="AdvTT3c2d9f11" w:cs="AdvTT3c2d9f11"/>
          <w:color w:val="000000"/>
          <w:sz w:val="18"/>
          <w:szCs w:val="18"/>
          <w:lang w:val="en-CA"/>
        </w:rPr>
      </w:pPr>
      <w:r w:rsidRPr="001848AA">
        <w:rPr>
          <w:rFonts w:cstheme="minorHAnsi"/>
          <w:color w:val="000000"/>
          <w:szCs w:val="18"/>
          <w:lang w:val="en-CA"/>
        </w:rPr>
        <w:t>Supercooling of a liquid is the mainte</w:t>
      </w:r>
      <w:r>
        <w:rPr>
          <w:rFonts w:cstheme="minorHAnsi"/>
          <w:color w:val="000000"/>
          <w:szCs w:val="18"/>
          <w:lang w:val="en-CA"/>
        </w:rPr>
        <w:t xml:space="preserve">nance of its liquid state below </w:t>
      </w:r>
      <w:r w:rsidRPr="001848AA">
        <w:rPr>
          <w:rFonts w:cstheme="minorHAnsi"/>
          <w:color w:val="000000"/>
          <w:szCs w:val="18"/>
          <w:lang w:val="en-CA"/>
        </w:rPr>
        <w:t>the freezing point. For porous</w:t>
      </w:r>
      <w:r>
        <w:rPr>
          <w:rFonts w:cstheme="minorHAnsi"/>
          <w:color w:val="000000"/>
          <w:szCs w:val="18"/>
          <w:lang w:val="en-CA"/>
        </w:rPr>
        <w:t xml:space="preserve"> sediments, supercooling mainly </w:t>
      </w:r>
      <w:r w:rsidRPr="001848AA">
        <w:rPr>
          <w:rFonts w:cstheme="minorHAnsi"/>
          <w:color w:val="000000"/>
          <w:szCs w:val="18"/>
          <w:lang w:val="en-CA"/>
        </w:rPr>
        <w:t>affects the free water (</w:t>
      </w:r>
      <w:r w:rsidRPr="001848AA">
        <w:rPr>
          <w:rFonts w:cstheme="minorHAnsi"/>
          <w:color w:val="0000FF"/>
          <w:szCs w:val="18"/>
          <w:lang w:val="en-CA"/>
        </w:rPr>
        <w:t>Andersland and Ladanyi, 2004</w:t>
      </w:r>
      <w:r>
        <w:rPr>
          <w:rFonts w:cstheme="minorHAnsi"/>
          <w:color w:val="000000"/>
          <w:szCs w:val="18"/>
          <w:lang w:val="en-CA"/>
        </w:rPr>
        <w:t xml:space="preserve">). Supercooled </w:t>
      </w:r>
      <w:r w:rsidRPr="001848AA">
        <w:rPr>
          <w:rFonts w:cstheme="minorHAnsi"/>
          <w:color w:val="000000"/>
          <w:szCs w:val="18"/>
          <w:lang w:val="en-CA"/>
        </w:rPr>
        <w:t>water is metastable. If the tempera</w:t>
      </w:r>
      <w:r>
        <w:rPr>
          <w:rFonts w:cstheme="minorHAnsi"/>
          <w:color w:val="000000"/>
          <w:szCs w:val="18"/>
          <w:lang w:val="en-CA"/>
        </w:rPr>
        <w:t xml:space="preserve">ture gets low enough, or if ice </w:t>
      </w:r>
      <w:r w:rsidRPr="001848AA">
        <w:rPr>
          <w:rFonts w:cstheme="minorHAnsi"/>
          <w:color w:val="000000"/>
          <w:szCs w:val="18"/>
          <w:lang w:val="en-CA"/>
        </w:rPr>
        <w:t>microparticles grow sufficiently larg</w:t>
      </w:r>
      <w:r>
        <w:rPr>
          <w:rFonts w:cstheme="minorHAnsi"/>
          <w:color w:val="000000"/>
          <w:szCs w:val="18"/>
          <w:lang w:val="en-CA"/>
        </w:rPr>
        <w:t xml:space="preserve">e to facilitate nucleation, the </w:t>
      </w:r>
      <w:r w:rsidRPr="001848AA">
        <w:rPr>
          <w:rFonts w:cstheme="minorHAnsi"/>
          <w:color w:val="000000"/>
          <w:szCs w:val="18"/>
          <w:lang w:val="en-CA"/>
        </w:rPr>
        <w:t>supercooled water freezes spontaneously and rapidly</w:t>
      </w:r>
      <w:r w:rsidRPr="001848AA">
        <w:rPr>
          <w:rFonts w:ascii="AdvTT3c2d9f11" w:hAnsi="AdvTT3c2d9f11" w:cs="AdvTT3c2d9f11"/>
          <w:color w:val="000000"/>
          <w:sz w:val="18"/>
          <w:szCs w:val="18"/>
          <w:lang w:val="en-CA"/>
        </w:rPr>
        <w:t>.</w:t>
      </w:r>
    </w:p>
    <w:p w:rsidR="001848AA" w:rsidRDefault="001848AA" w:rsidP="001848AA">
      <w:pPr>
        <w:autoSpaceDE w:val="0"/>
        <w:autoSpaceDN w:val="0"/>
        <w:adjustRightInd w:val="0"/>
        <w:spacing w:after="0" w:line="240" w:lineRule="auto"/>
        <w:rPr>
          <w:rFonts w:ascii="AdvTT3c2d9f11" w:hAnsi="AdvTT3c2d9f11" w:cs="AdvTT3c2d9f11"/>
          <w:color w:val="000000"/>
          <w:sz w:val="18"/>
          <w:szCs w:val="18"/>
          <w:lang w:val="en-CA"/>
        </w:rPr>
      </w:pPr>
    </w:p>
    <w:p w:rsidR="001848AA" w:rsidRDefault="001848AA" w:rsidP="001848AA">
      <w:pPr>
        <w:autoSpaceDE w:val="0"/>
        <w:autoSpaceDN w:val="0"/>
        <w:adjustRightInd w:val="0"/>
        <w:spacing w:after="0" w:line="240" w:lineRule="auto"/>
        <w:rPr>
          <w:rFonts w:cstheme="minorHAnsi"/>
          <w:color w:val="000000"/>
          <w:szCs w:val="18"/>
          <w:lang w:val="en-CA"/>
        </w:rPr>
      </w:pPr>
      <w:r>
        <w:rPr>
          <w:rFonts w:cstheme="minorHAnsi"/>
          <w:noProof/>
          <w:color w:val="000000"/>
          <w:szCs w:val="18"/>
          <w:lang w:eastAsia="fr-CA"/>
        </w:rPr>
        <w:drawing>
          <wp:inline distT="0" distB="0" distL="0" distR="0">
            <wp:extent cx="4998720" cy="31165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 7.JPG"/>
                    <pic:cNvPicPr/>
                  </pic:nvPicPr>
                  <pic:blipFill>
                    <a:blip r:embed="rId13">
                      <a:extLst>
                        <a:ext uri="{28A0092B-C50C-407E-A947-70E740481C1C}">
                          <a14:useLocalDpi xmlns:a14="http://schemas.microsoft.com/office/drawing/2010/main" val="0"/>
                        </a:ext>
                      </a:extLst>
                    </a:blip>
                    <a:stretch>
                      <a:fillRect/>
                    </a:stretch>
                  </pic:blipFill>
                  <pic:spPr>
                    <a:xfrm>
                      <a:off x="0" y="0"/>
                      <a:ext cx="4998720" cy="3116580"/>
                    </a:xfrm>
                    <a:prstGeom prst="rect">
                      <a:avLst/>
                    </a:prstGeom>
                  </pic:spPr>
                </pic:pic>
              </a:graphicData>
            </a:graphic>
          </wp:inline>
        </w:drawing>
      </w:r>
    </w:p>
    <w:p w:rsidR="00D2680B" w:rsidRDefault="00876450" w:rsidP="001848AA">
      <w:pPr>
        <w:rPr>
          <w:rFonts w:cstheme="minorHAnsi"/>
          <w:szCs w:val="18"/>
        </w:rPr>
      </w:pPr>
      <w:r>
        <w:rPr>
          <w:rFonts w:cstheme="minorHAnsi"/>
          <w:noProof/>
          <w:szCs w:val="18"/>
          <w:lang w:eastAsia="fr-CA"/>
        </w:rPr>
        <w:lastRenderedPageBreak/>
        <w:drawing>
          <wp:inline distT="0" distB="0" distL="0" distR="0">
            <wp:extent cx="3741420" cy="67589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 8.JPG"/>
                    <pic:cNvPicPr/>
                  </pic:nvPicPr>
                  <pic:blipFill>
                    <a:blip r:embed="rId14">
                      <a:extLst>
                        <a:ext uri="{28A0092B-C50C-407E-A947-70E740481C1C}">
                          <a14:useLocalDpi xmlns:a14="http://schemas.microsoft.com/office/drawing/2010/main" val="0"/>
                        </a:ext>
                      </a:extLst>
                    </a:blip>
                    <a:stretch>
                      <a:fillRect/>
                    </a:stretch>
                  </pic:blipFill>
                  <pic:spPr>
                    <a:xfrm>
                      <a:off x="0" y="0"/>
                      <a:ext cx="3741420" cy="6758940"/>
                    </a:xfrm>
                    <a:prstGeom prst="rect">
                      <a:avLst/>
                    </a:prstGeom>
                  </pic:spPr>
                </pic:pic>
              </a:graphicData>
            </a:graphic>
          </wp:inline>
        </w:drawing>
      </w:r>
    </w:p>
    <w:p w:rsidR="00D2680B" w:rsidRPr="00D2680B" w:rsidRDefault="00D2680B" w:rsidP="00D2680B">
      <w:pPr>
        <w:autoSpaceDE w:val="0"/>
        <w:autoSpaceDN w:val="0"/>
        <w:adjustRightInd w:val="0"/>
        <w:spacing w:after="0" w:line="240" w:lineRule="auto"/>
        <w:rPr>
          <w:rFonts w:cstheme="minorHAnsi"/>
          <w:color w:val="000000"/>
          <w:szCs w:val="18"/>
          <w:lang w:val="en-CA"/>
        </w:rPr>
      </w:pPr>
      <w:r>
        <w:rPr>
          <w:rFonts w:cstheme="minorHAnsi"/>
          <w:color w:val="000000"/>
          <w:szCs w:val="18"/>
          <w:lang w:val="en-CA"/>
        </w:rPr>
        <w:t xml:space="preserve">The first cycle of the waveform </w:t>
      </w:r>
      <w:r w:rsidRPr="00D2680B">
        <w:rPr>
          <w:rFonts w:cstheme="minorHAnsi"/>
          <w:color w:val="000000"/>
          <w:szCs w:val="18"/>
          <w:lang w:val="en-CA"/>
        </w:rPr>
        <w:t>arrives at successively earlier time</w:t>
      </w:r>
      <w:r>
        <w:rPr>
          <w:rFonts w:cstheme="minorHAnsi"/>
          <w:color w:val="000000"/>
          <w:szCs w:val="18"/>
          <w:lang w:val="en-CA"/>
        </w:rPr>
        <w:t xml:space="preserve">s as the temperature decreases, </w:t>
      </w:r>
      <w:r w:rsidRPr="00D2680B">
        <w:rPr>
          <w:rFonts w:cstheme="minorHAnsi"/>
          <w:color w:val="000000"/>
          <w:szCs w:val="18"/>
          <w:lang w:val="en-CA"/>
        </w:rPr>
        <w:t>illustrating the monotonic increas</w:t>
      </w:r>
      <w:r>
        <w:rPr>
          <w:rFonts w:cstheme="minorHAnsi"/>
          <w:color w:val="000000"/>
          <w:szCs w:val="18"/>
          <w:lang w:val="en-CA"/>
        </w:rPr>
        <w:t xml:space="preserve">es in the P-wave velocities. By </w:t>
      </w:r>
      <w:r w:rsidRPr="00D2680B">
        <w:rPr>
          <w:rFonts w:cstheme="minorHAnsi"/>
          <w:color w:val="000000"/>
          <w:szCs w:val="18"/>
          <w:lang w:val="en-CA"/>
        </w:rPr>
        <w:t>contrast, the associated changes in th</w:t>
      </w:r>
      <w:r>
        <w:rPr>
          <w:rFonts w:cstheme="minorHAnsi"/>
          <w:color w:val="000000"/>
          <w:szCs w:val="18"/>
          <w:lang w:val="en-CA"/>
        </w:rPr>
        <w:t xml:space="preserve">e spectral contents do not show </w:t>
      </w:r>
      <w:r w:rsidRPr="00D2680B">
        <w:rPr>
          <w:rFonts w:cstheme="minorHAnsi"/>
          <w:color w:val="000000"/>
          <w:szCs w:val="18"/>
          <w:lang w:val="en-CA"/>
        </w:rPr>
        <w:t>such monotonicity. Instead, the</w:t>
      </w:r>
      <w:r>
        <w:rPr>
          <w:rFonts w:cstheme="minorHAnsi"/>
          <w:color w:val="000000"/>
          <w:szCs w:val="18"/>
          <w:lang w:val="en-CA"/>
        </w:rPr>
        <w:t xml:space="preserve"> high-frequency contents of the </w:t>
      </w:r>
      <w:r w:rsidRPr="00D2680B">
        <w:rPr>
          <w:rFonts w:cstheme="minorHAnsi"/>
          <w:color w:val="000000"/>
          <w:szCs w:val="18"/>
          <w:lang w:val="en-CA"/>
        </w:rPr>
        <w:t>spectra first diminish at temperat</w:t>
      </w:r>
      <w:r>
        <w:rPr>
          <w:rFonts w:cstheme="minorHAnsi"/>
          <w:color w:val="000000"/>
          <w:szCs w:val="18"/>
          <w:lang w:val="en-CA"/>
        </w:rPr>
        <w:t xml:space="preserve">ures that are immediately below </w:t>
      </w:r>
      <w:r w:rsidRPr="00D2680B">
        <w:rPr>
          <w:rFonts w:cstheme="minorHAnsi"/>
          <w:color w:val="000000"/>
          <w:szCs w:val="18"/>
          <w:lang w:val="en-CA"/>
        </w:rPr>
        <w:t xml:space="preserve">the freezing point (e.g., </w:t>
      </w:r>
      <w:r w:rsidRPr="00D2680B">
        <w:rPr>
          <w:rFonts w:eastAsia="AdvOT8608a8d1+22" w:cstheme="minorHAnsi"/>
          <w:color w:val="000000"/>
          <w:szCs w:val="18"/>
          <w:lang w:val="en-CA"/>
        </w:rPr>
        <w:t>−</w:t>
      </w:r>
      <w:r w:rsidRPr="00D2680B">
        <w:rPr>
          <w:rFonts w:cstheme="minorHAnsi"/>
          <w:color w:val="000000"/>
          <w:szCs w:val="18"/>
          <w:lang w:val="en-CA"/>
        </w:rPr>
        <w:t xml:space="preserve">2.3°C and </w:t>
      </w:r>
      <w:r w:rsidRPr="00D2680B">
        <w:rPr>
          <w:rFonts w:eastAsia="AdvOT8608a8d1+22" w:cstheme="minorHAnsi"/>
          <w:color w:val="000000"/>
          <w:szCs w:val="18"/>
          <w:lang w:val="en-CA"/>
        </w:rPr>
        <w:t>−</w:t>
      </w:r>
      <w:r w:rsidRPr="00D2680B">
        <w:rPr>
          <w:rFonts w:cstheme="minorHAnsi"/>
          <w:color w:val="000000"/>
          <w:szCs w:val="18"/>
          <w:lang w:val="en-CA"/>
        </w:rPr>
        <w:t xml:space="preserve">3.5°C in Figure </w:t>
      </w:r>
      <w:r w:rsidRPr="00D2680B">
        <w:rPr>
          <w:rFonts w:cstheme="minorHAnsi"/>
          <w:color w:val="0000FF"/>
          <w:szCs w:val="18"/>
          <w:lang w:val="en-CA"/>
        </w:rPr>
        <w:t>7</w:t>
      </w:r>
      <w:r w:rsidRPr="00D2680B">
        <w:rPr>
          <w:rFonts w:cstheme="minorHAnsi"/>
          <w:color w:val="000000"/>
          <w:szCs w:val="18"/>
          <w:lang w:val="en-CA"/>
        </w:rPr>
        <w:t>),</w:t>
      </w:r>
      <w:r>
        <w:rPr>
          <w:rFonts w:cstheme="minorHAnsi"/>
          <w:color w:val="000000"/>
          <w:szCs w:val="18"/>
          <w:lang w:val="en-CA"/>
        </w:rPr>
        <w:t xml:space="preserve"> and then </w:t>
      </w:r>
      <w:r w:rsidRPr="00D2680B">
        <w:rPr>
          <w:rFonts w:cstheme="minorHAnsi"/>
          <w:color w:val="000000"/>
          <w:szCs w:val="18"/>
          <w:lang w:val="en-CA"/>
        </w:rPr>
        <w:t>they gradually grow back as the tempe</w:t>
      </w:r>
      <w:r>
        <w:rPr>
          <w:rFonts w:cstheme="minorHAnsi"/>
          <w:color w:val="000000"/>
          <w:szCs w:val="18"/>
          <w:lang w:val="en-CA"/>
        </w:rPr>
        <w:t xml:space="preserve">ratures decrease further (e.g., </w:t>
      </w:r>
      <w:r w:rsidRPr="00D2680B">
        <w:rPr>
          <w:rFonts w:cstheme="minorHAnsi"/>
          <w:color w:val="000000"/>
          <w:szCs w:val="18"/>
          <w:lang w:val="en-CA"/>
        </w:rPr>
        <w:t xml:space="preserve">Rock physics of saline permafrost </w:t>
      </w:r>
      <w:r w:rsidRPr="00D2680B">
        <w:rPr>
          <w:rFonts w:cstheme="minorHAnsi"/>
          <w:color w:val="000000"/>
          <w:sz w:val="20"/>
          <w:szCs w:val="16"/>
          <w:lang w:val="en-CA"/>
        </w:rPr>
        <w:t>WA237</w:t>
      </w:r>
    </w:p>
    <w:p w:rsidR="001848AA" w:rsidRDefault="00D2680B" w:rsidP="00D2680B">
      <w:pPr>
        <w:autoSpaceDE w:val="0"/>
        <w:autoSpaceDN w:val="0"/>
        <w:adjustRightInd w:val="0"/>
        <w:spacing w:after="0" w:line="240" w:lineRule="auto"/>
        <w:rPr>
          <w:rFonts w:cstheme="minorHAnsi"/>
          <w:color w:val="000000"/>
          <w:szCs w:val="18"/>
          <w:lang w:val="en-CA"/>
        </w:rPr>
      </w:pPr>
      <w:r w:rsidRPr="00D2680B">
        <w:rPr>
          <w:rFonts w:eastAsia="AdvOT8608a8d1+22" w:cstheme="minorHAnsi"/>
          <w:color w:val="000000"/>
          <w:szCs w:val="18"/>
          <w:lang w:val="en-CA"/>
        </w:rPr>
        <w:lastRenderedPageBreak/>
        <w:t>−</w:t>
      </w:r>
      <w:r w:rsidRPr="00D2680B">
        <w:rPr>
          <w:rFonts w:cstheme="minorHAnsi"/>
          <w:color w:val="000000"/>
          <w:szCs w:val="18"/>
          <w:lang w:val="en-CA"/>
        </w:rPr>
        <w:t xml:space="preserve">12.6°C in Figure </w:t>
      </w:r>
      <w:r w:rsidRPr="00D2680B">
        <w:rPr>
          <w:rFonts w:cstheme="minorHAnsi"/>
          <w:color w:val="0000FF"/>
          <w:szCs w:val="18"/>
          <w:lang w:val="en-CA"/>
        </w:rPr>
        <w:t>7</w:t>
      </w:r>
      <w:r w:rsidRPr="00D2680B">
        <w:rPr>
          <w:rFonts w:cstheme="minorHAnsi"/>
          <w:color w:val="000000"/>
          <w:szCs w:val="18"/>
          <w:lang w:val="en-CA"/>
        </w:rPr>
        <w:t>). In the end, when the temperatures are below</w:t>
      </w:r>
      <w:r>
        <w:rPr>
          <w:rFonts w:cstheme="minorHAnsi"/>
          <w:color w:val="000000"/>
          <w:szCs w:val="18"/>
          <w:lang w:val="en-CA"/>
        </w:rPr>
        <w:t xml:space="preserve"> </w:t>
      </w:r>
      <w:r w:rsidRPr="00D2680B">
        <w:rPr>
          <w:rFonts w:cstheme="minorHAnsi"/>
          <w:color w:val="000000"/>
          <w:szCs w:val="18"/>
          <w:lang w:val="en-CA"/>
        </w:rPr>
        <w:t xml:space="preserve">the eutectic point (e.g., </w:t>
      </w:r>
      <w:r w:rsidRPr="00D2680B">
        <w:rPr>
          <w:rFonts w:eastAsia="AdvOT8608a8d1+22" w:cstheme="minorHAnsi"/>
          <w:color w:val="000000"/>
          <w:szCs w:val="18"/>
          <w:lang w:val="en-CA"/>
        </w:rPr>
        <w:t>−</w:t>
      </w:r>
      <w:r w:rsidRPr="00D2680B">
        <w:rPr>
          <w:rFonts w:cstheme="minorHAnsi"/>
          <w:color w:val="000000"/>
          <w:szCs w:val="18"/>
          <w:lang w:val="en-CA"/>
        </w:rPr>
        <w:t xml:space="preserve">25.6°C in Figure </w:t>
      </w:r>
      <w:r w:rsidRPr="00D2680B">
        <w:rPr>
          <w:rFonts w:cstheme="minorHAnsi"/>
          <w:color w:val="0000FF"/>
          <w:szCs w:val="18"/>
          <w:lang w:val="en-CA"/>
        </w:rPr>
        <w:t>7</w:t>
      </w:r>
      <w:r>
        <w:rPr>
          <w:rFonts w:cstheme="minorHAnsi"/>
          <w:color w:val="000000"/>
          <w:szCs w:val="18"/>
          <w:lang w:val="en-CA"/>
        </w:rPr>
        <w:t xml:space="preserve">) the waveforms become </w:t>
      </w:r>
      <w:r w:rsidRPr="00D2680B">
        <w:rPr>
          <w:rFonts w:cstheme="minorHAnsi"/>
          <w:color w:val="000000"/>
          <w:szCs w:val="18"/>
          <w:lang w:val="en-CA"/>
        </w:rPr>
        <w:t>impulsive and compact, and the</w:t>
      </w:r>
      <w:r>
        <w:rPr>
          <w:rFonts w:cstheme="minorHAnsi"/>
          <w:color w:val="000000"/>
          <w:szCs w:val="18"/>
          <w:lang w:val="en-CA"/>
        </w:rPr>
        <w:t xml:space="preserve"> spectra include a considerable </w:t>
      </w:r>
      <w:r w:rsidRPr="00D2680B">
        <w:rPr>
          <w:rFonts w:cstheme="minorHAnsi"/>
          <w:color w:val="000000"/>
          <w:szCs w:val="18"/>
          <w:lang w:val="en-CA"/>
        </w:rPr>
        <w:t>amount of higher frequencies.</w:t>
      </w:r>
    </w:p>
    <w:p w:rsidR="00D2680B" w:rsidRDefault="00D2680B" w:rsidP="00D2680B">
      <w:pPr>
        <w:autoSpaceDE w:val="0"/>
        <w:autoSpaceDN w:val="0"/>
        <w:adjustRightInd w:val="0"/>
        <w:spacing w:after="0" w:line="240" w:lineRule="auto"/>
        <w:rPr>
          <w:rFonts w:cstheme="minorHAnsi"/>
          <w:color w:val="000000"/>
          <w:szCs w:val="18"/>
          <w:lang w:val="en-CA"/>
        </w:rPr>
      </w:pPr>
    </w:p>
    <w:p w:rsidR="00D2680B" w:rsidRDefault="00D2680B" w:rsidP="00D2680B">
      <w:pPr>
        <w:autoSpaceDE w:val="0"/>
        <w:autoSpaceDN w:val="0"/>
        <w:adjustRightInd w:val="0"/>
        <w:spacing w:after="0" w:line="240" w:lineRule="auto"/>
        <w:rPr>
          <w:rFonts w:cstheme="minorHAnsi"/>
          <w:color w:val="000000"/>
          <w:szCs w:val="18"/>
        </w:rPr>
      </w:pPr>
      <w:r w:rsidRPr="00D2680B">
        <w:rPr>
          <w:rFonts w:cstheme="minorHAnsi"/>
          <w:color w:val="000000"/>
          <w:szCs w:val="18"/>
        </w:rPr>
        <w:t xml:space="preserve">On observe une baisse important de l’amplitude des ondes P lorsque la temperature </w:t>
      </w:r>
      <w:r w:rsidR="007F3F8B">
        <w:rPr>
          <w:rFonts w:cstheme="minorHAnsi"/>
          <w:color w:val="000000"/>
          <w:szCs w:val="18"/>
        </w:rPr>
        <w:t>atte</w:t>
      </w:r>
      <w:r w:rsidR="001150DF">
        <w:rPr>
          <w:rFonts w:cstheme="minorHAnsi"/>
          <w:color w:val="000000"/>
          <w:szCs w:val="18"/>
        </w:rPr>
        <w:t>int le point eutectique de -21.3</w:t>
      </w:r>
      <w:r w:rsidR="007F3F8B">
        <w:rPr>
          <w:rFonts w:cstheme="minorHAnsi"/>
          <w:color w:val="000000"/>
          <w:szCs w:val="18"/>
        </w:rPr>
        <w:t xml:space="preserve"> degrés. Cette baisse s’observe peu importe la teneur en sel dans l’eau des pores de l’échantillon de sol. Lorsqu’il n’y a pas de sel dans l’eau, la baisse d’amplitude est seulement fonction de la température lorsqu’elle atteint 0 degré. </w:t>
      </w:r>
    </w:p>
    <w:p w:rsidR="007F3F8B" w:rsidRDefault="007F3F8B" w:rsidP="00D2680B">
      <w:pPr>
        <w:autoSpaceDE w:val="0"/>
        <w:autoSpaceDN w:val="0"/>
        <w:adjustRightInd w:val="0"/>
        <w:spacing w:after="0" w:line="240" w:lineRule="auto"/>
        <w:rPr>
          <w:rFonts w:cstheme="minorHAnsi"/>
          <w:color w:val="000000"/>
          <w:szCs w:val="18"/>
        </w:rPr>
      </w:pPr>
    </w:p>
    <w:p w:rsidR="007F3F8B" w:rsidRPr="00D2680B" w:rsidRDefault="007F3F8B" w:rsidP="00D2680B">
      <w:pPr>
        <w:autoSpaceDE w:val="0"/>
        <w:autoSpaceDN w:val="0"/>
        <w:adjustRightInd w:val="0"/>
        <w:spacing w:after="0" w:line="240" w:lineRule="auto"/>
        <w:rPr>
          <w:rFonts w:cstheme="minorHAnsi"/>
          <w:color w:val="000000"/>
          <w:szCs w:val="18"/>
        </w:rPr>
      </w:pPr>
      <w:r>
        <w:rPr>
          <w:rFonts w:cstheme="minorHAnsi"/>
          <w:noProof/>
          <w:color w:val="000000"/>
          <w:szCs w:val="18"/>
          <w:lang w:eastAsia="fr-CA"/>
        </w:rPr>
        <w:drawing>
          <wp:inline distT="0" distB="0" distL="0" distR="0">
            <wp:extent cx="3672840" cy="596646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 9.JPG"/>
                    <pic:cNvPicPr/>
                  </pic:nvPicPr>
                  <pic:blipFill>
                    <a:blip r:embed="rId15">
                      <a:extLst>
                        <a:ext uri="{28A0092B-C50C-407E-A947-70E740481C1C}">
                          <a14:useLocalDpi xmlns:a14="http://schemas.microsoft.com/office/drawing/2010/main" val="0"/>
                        </a:ext>
                      </a:extLst>
                    </a:blip>
                    <a:stretch>
                      <a:fillRect/>
                    </a:stretch>
                  </pic:blipFill>
                  <pic:spPr>
                    <a:xfrm>
                      <a:off x="0" y="0"/>
                      <a:ext cx="3672840" cy="5966460"/>
                    </a:xfrm>
                    <a:prstGeom prst="rect">
                      <a:avLst/>
                    </a:prstGeom>
                  </pic:spPr>
                </pic:pic>
              </a:graphicData>
            </a:graphic>
          </wp:inline>
        </w:drawing>
      </w:r>
    </w:p>
    <w:p w:rsidR="00D2680B" w:rsidRDefault="00D2680B" w:rsidP="00D2680B">
      <w:pPr>
        <w:autoSpaceDE w:val="0"/>
        <w:autoSpaceDN w:val="0"/>
        <w:adjustRightInd w:val="0"/>
        <w:spacing w:after="0" w:line="240" w:lineRule="auto"/>
        <w:rPr>
          <w:rFonts w:cstheme="minorHAnsi"/>
          <w:color w:val="000000"/>
          <w:szCs w:val="18"/>
        </w:rPr>
      </w:pPr>
    </w:p>
    <w:p w:rsidR="007F3F8B" w:rsidRPr="00D2680B" w:rsidRDefault="001150DF" w:rsidP="00D2680B">
      <w:pPr>
        <w:autoSpaceDE w:val="0"/>
        <w:autoSpaceDN w:val="0"/>
        <w:adjustRightInd w:val="0"/>
        <w:spacing w:after="0" w:line="240" w:lineRule="auto"/>
        <w:rPr>
          <w:rFonts w:cstheme="minorHAnsi"/>
          <w:color w:val="000000"/>
          <w:szCs w:val="18"/>
        </w:rPr>
      </w:pPr>
      <w:bookmarkStart w:id="0" w:name="_GoBack"/>
      <w:r>
        <w:rPr>
          <w:rFonts w:cstheme="minorHAnsi"/>
          <w:noProof/>
          <w:color w:val="000000"/>
          <w:szCs w:val="18"/>
          <w:lang w:eastAsia="fr-CA"/>
        </w:rPr>
        <w:lastRenderedPageBreak/>
        <w:drawing>
          <wp:inline distT="0" distB="0" distL="0" distR="0">
            <wp:extent cx="2575560" cy="5486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 10.JPG"/>
                    <pic:cNvPicPr/>
                  </pic:nvPicPr>
                  <pic:blipFill>
                    <a:blip r:embed="rId16">
                      <a:extLst>
                        <a:ext uri="{28A0092B-C50C-407E-A947-70E740481C1C}">
                          <a14:useLocalDpi xmlns:a14="http://schemas.microsoft.com/office/drawing/2010/main" val="0"/>
                        </a:ext>
                      </a:extLst>
                    </a:blip>
                    <a:stretch>
                      <a:fillRect/>
                    </a:stretch>
                  </pic:blipFill>
                  <pic:spPr>
                    <a:xfrm>
                      <a:off x="0" y="0"/>
                      <a:ext cx="2575560" cy="5486400"/>
                    </a:xfrm>
                    <a:prstGeom prst="rect">
                      <a:avLst/>
                    </a:prstGeom>
                  </pic:spPr>
                </pic:pic>
              </a:graphicData>
            </a:graphic>
          </wp:inline>
        </w:drawing>
      </w:r>
      <w:bookmarkEnd w:id="0"/>
    </w:p>
    <w:sectPr w:rsidR="007F3F8B" w:rsidRPr="00D2680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D92" w:rsidRDefault="00732D92" w:rsidP="00287CE7">
      <w:pPr>
        <w:spacing w:after="0" w:line="240" w:lineRule="auto"/>
      </w:pPr>
      <w:r>
        <w:separator/>
      </w:r>
    </w:p>
  </w:endnote>
  <w:endnote w:type="continuationSeparator" w:id="0">
    <w:p w:rsidR="00732D92" w:rsidRDefault="00732D92" w:rsidP="0028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Regular">
    <w:panose1 w:val="00000000000000000000"/>
    <w:charset w:val="00"/>
    <w:family w:val="auto"/>
    <w:notTrueType/>
    <w:pitch w:val="default"/>
    <w:sig w:usb0="00000003" w:usb1="00000000" w:usb2="00000000" w:usb3="00000000" w:csb0="00000001" w:csb1="00000000"/>
  </w:font>
  <w:font w:name="STIXMath-Regular">
    <w:altName w:val="Arial Unicode MS"/>
    <w:panose1 w:val="00000000000000000000"/>
    <w:charset w:val="81"/>
    <w:family w:val="auto"/>
    <w:notTrueType/>
    <w:pitch w:val="default"/>
    <w:sig w:usb0="00000001" w:usb1="09060000" w:usb2="00000010" w:usb3="00000000" w:csb0="00080000" w:csb1="00000000"/>
  </w:font>
  <w:font w:name="AdvOT46dcae81">
    <w:panose1 w:val="00000000000000000000"/>
    <w:charset w:val="00"/>
    <w:family w:val="auto"/>
    <w:notTrueType/>
    <w:pitch w:val="default"/>
    <w:sig w:usb0="00000003" w:usb1="00000000" w:usb2="00000000" w:usb3="00000000" w:csb0="00000001" w:csb1="00000000"/>
  </w:font>
  <w:font w:name="AdvOT65f8a23b.I">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80675">
    <w:panose1 w:val="00000000000000000000"/>
    <w:charset w:val="00"/>
    <w:family w:val="auto"/>
    <w:notTrueType/>
    <w:pitch w:val="default"/>
    <w:sig w:usb0="00000003" w:usb1="00000000" w:usb2="00000000" w:usb3="00000000" w:csb0="00000001" w:csb1="00000000"/>
  </w:font>
  <w:font w:name="AdvP4C4E46">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OT3b30f6db.B">
    <w:panose1 w:val="00000000000000000000"/>
    <w:charset w:val="00"/>
    <w:family w:val="auto"/>
    <w:notTrueType/>
    <w:pitch w:val="default"/>
    <w:sig w:usb0="00000003" w:usb1="00000000" w:usb2="00000000" w:usb3="00000000" w:csb0="00000001" w:csb1="00000000"/>
  </w:font>
  <w:font w:name="AdvTT3c2d9f11">
    <w:panose1 w:val="00000000000000000000"/>
    <w:charset w:val="00"/>
    <w:family w:val="roman"/>
    <w:notTrueType/>
    <w:pitch w:val="default"/>
    <w:sig w:usb0="00000003" w:usb1="00000000" w:usb2="00000000" w:usb3="00000000" w:csb0="00000001" w:csb1="00000000"/>
  </w:font>
  <w:font w:name="AdvOT8608a8d1+22">
    <w:altName w:val="Arial Unicode MS"/>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D92" w:rsidRDefault="00732D92" w:rsidP="00287CE7">
      <w:pPr>
        <w:spacing w:after="0" w:line="240" w:lineRule="auto"/>
      </w:pPr>
      <w:r>
        <w:separator/>
      </w:r>
    </w:p>
  </w:footnote>
  <w:footnote w:type="continuationSeparator" w:id="0">
    <w:p w:rsidR="00732D92" w:rsidRDefault="00732D92" w:rsidP="00287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10AE"/>
    <w:multiLevelType w:val="hybridMultilevel"/>
    <w:tmpl w:val="290E5B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83"/>
    <w:rsid w:val="000578CD"/>
    <w:rsid w:val="001150DF"/>
    <w:rsid w:val="00142BFB"/>
    <w:rsid w:val="001848AA"/>
    <w:rsid w:val="00267D50"/>
    <w:rsid w:val="00287CE7"/>
    <w:rsid w:val="00321CEC"/>
    <w:rsid w:val="004B17C9"/>
    <w:rsid w:val="004F13C2"/>
    <w:rsid w:val="00587283"/>
    <w:rsid w:val="005A45D8"/>
    <w:rsid w:val="005C6982"/>
    <w:rsid w:val="006D22D8"/>
    <w:rsid w:val="00732D92"/>
    <w:rsid w:val="007E1394"/>
    <w:rsid w:val="007F3F8B"/>
    <w:rsid w:val="00852DD9"/>
    <w:rsid w:val="00876450"/>
    <w:rsid w:val="008A098B"/>
    <w:rsid w:val="0098593F"/>
    <w:rsid w:val="00A04824"/>
    <w:rsid w:val="00AA3B15"/>
    <w:rsid w:val="00AA48ED"/>
    <w:rsid w:val="00AB0262"/>
    <w:rsid w:val="00AB03D4"/>
    <w:rsid w:val="00AE246C"/>
    <w:rsid w:val="00BD01E1"/>
    <w:rsid w:val="00C22456"/>
    <w:rsid w:val="00CE4A18"/>
    <w:rsid w:val="00CF0CED"/>
    <w:rsid w:val="00D1159B"/>
    <w:rsid w:val="00D2680B"/>
    <w:rsid w:val="00D57E06"/>
    <w:rsid w:val="00DA6F88"/>
    <w:rsid w:val="00DB44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28AC4-36BB-4136-B4CB-DA4B26FE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52DD9"/>
    <w:rPr>
      <w:color w:val="808080"/>
    </w:rPr>
  </w:style>
  <w:style w:type="paragraph" w:styleId="En-tte">
    <w:name w:val="header"/>
    <w:basedOn w:val="Normal"/>
    <w:link w:val="En-tteCar"/>
    <w:uiPriority w:val="99"/>
    <w:unhideWhenUsed/>
    <w:rsid w:val="00287CE7"/>
    <w:pPr>
      <w:tabs>
        <w:tab w:val="center" w:pos="4320"/>
        <w:tab w:val="right" w:pos="8640"/>
      </w:tabs>
      <w:spacing w:after="0" w:line="240" w:lineRule="auto"/>
    </w:pPr>
  </w:style>
  <w:style w:type="character" w:customStyle="1" w:styleId="En-tteCar">
    <w:name w:val="En-tête Car"/>
    <w:basedOn w:val="Policepardfaut"/>
    <w:link w:val="En-tte"/>
    <w:uiPriority w:val="99"/>
    <w:rsid w:val="00287CE7"/>
  </w:style>
  <w:style w:type="paragraph" w:styleId="Pieddepage">
    <w:name w:val="footer"/>
    <w:basedOn w:val="Normal"/>
    <w:link w:val="PieddepageCar"/>
    <w:uiPriority w:val="99"/>
    <w:unhideWhenUsed/>
    <w:rsid w:val="00287CE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87CE7"/>
  </w:style>
  <w:style w:type="paragraph" w:styleId="Paragraphedeliste">
    <w:name w:val="List Paragraph"/>
    <w:basedOn w:val="Normal"/>
    <w:uiPriority w:val="34"/>
    <w:qFormat/>
    <w:rsid w:val="0028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1844</Words>
  <Characters>10146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dcterms:created xsi:type="dcterms:W3CDTF">2018-09-28T16:36:00Z</dcterms:created>
  <dcterms:modified xsi:type="dcterms:W3CDTF">2018-09-28T16:36:00Z</dcterms:modified>
</cp:coreProperties>
</file>