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Регламент подготовки материалов</w:t>
      </w:r>
    </w:p>
    <w:p>
      <w:r>
        <w:t xml:space="preserve">Тестовый документ для проверки разбора DOCX. Содержит заголовки трёх уровней, </w:t>
      </w:r>
      <w:r>
        <w:rPr>
          <w:b/>
          <w:bCs/>
        </w:rPr>
        <w:t xml:space="preserve">полужирный</w:t>
      </w:r>
      <w:r>
        <w:t xml:space="preserve"> и </w:t>
      </w:r>
      <w:r>
        <w:rPr>
          <w:i/>
          <w:iCs/>
        </w:rPr>
        <w:t xml:space="preserve">курсивный</w:t>
      </w:r>
      <w:r>
        <w:t xml:space="preserve"> текст, </w:t>
      </w:r>
      <w:r>
        <w:rPr>
          <w:u w:val="single"/>
        </w:rPr>
        <w:t xml:space="preserve">подчёркивание</w:t>
      </w:r>
      <w:r>
        <w:t xml:space="preserve">, списки с вложенностью, таблицу с объединённой ячейкой и внешнюю ссылку. </w:t>
      </w:r>
      <w:r>
        <w:t xml:space="preserve">Персональных и конфиденциальных данных не содержит.</w:t>
      </w:r>
    </w:p>
    <w:p>
      <w:pPr>
        <w:pStyle w:val="Heading2"/>
      </w:pPr>
      <w:r>
        <w:t xml:space="preserve">Общие положения</w:t>
      </w:r>
    </w:p>
    <w:p>
      <w:r>
        <w:t xml:space="preserve">Материал считается готовым, когда прошёл вычитку и техническую проверку. </w:t>
      </w:r>
      <w:r>
        <w:t xml:space="preserve">Спорные случаи разбираются по </w:t>
      </w:r>
      <w:hyperlink w:history="1" r:id="rId-wedjfobguwwlsuhkd3gt">
        <w:r>
          <w:rPr>
            <w:rStyle w:val="Hyperlink"/>
          </w:rPr>
          <w:t xml:space="preserve">открытому руководству по стилю</w:t>
        </w:r>
      </w:hyperlink>
      <w:r>
        <w:t xml:space="preserve">.</w:t>
      </w:r>
    </w:p>
    <w:p>
      <w:pPr>
        <w:pStyle w:val="Heading3"/>
      </w:pPr>
      <w:r>
        <w:t xml:space="preserve">Порядок проверки</w:t>
      </w:r>
    </w:p>
    <w:p>
      <w:pPr>
        <w:pStyle w:val="ListParagraph"/>
        <w:numPr>
          <w:ilvl w:val="0"/>
          <w:numId w:val="2"/>
        </w:numPr>
      </w:pPr>
      <w:r>
        <w:t xml:space="preserve">Сдать материал на проверку.</w:t>
      </w:r>
    </w:p>
    <w:p>
      <w:pPr>
        <w:pStyle w:val="ListParagraph"/>
        <w:numPr>
          <w:ilvl w:val="0"/>
          <w:numId w:val="2"/>
        </w:numPr>
      </w:pPr>
      <w:r>
        <w:t xml:space="preserve">Дождаться замечаний редактора.</w:t>
      </w:r>
    </w:p>
    <w:p>
      <w:pPr>
        <w:pStyle w:val="ListParagraph"/>
        <w:numPr>
          <w:ilvl w:val="1"/>
          <w:numId w:val="2"/>
        </w:numPr>
      </w:pPr>
      <w:r>
        <w:t xml:space="preserve">Замечания по фактам — в первую очередь.</w:t>
      </w:r>
    </w:p>
    <w:p>
      <w:pPr>
        <w:pStyle w:val="ListParagraph"/>
        <w:numPr>
          <w:ilvl w:val="1"/>
          <w:numId w:val="2"/>
        </w:numPr>
      </w:pPr>
      <w:r>
        <w:t xml:space="preserve">Замечания по стилю — во вторую.</w:t>
      </w:r>
    </w:p>
    <w:p>
      <w:pPr>
        <w:pStyle w:val="ListParagraph"/>
        <w:numPr>
          <w:ilvl w:val="0"/>
          <w:numId w:val="2"/>
        </w:numPr>
      </w:pPr>
      <w:r>
        <w:t xml:space="preserve">Внести правки и отметить спорные места.</w:t>
      </w:r>
    </w:p>
    <w:p>
      <w:pPr>
        <w:pStyle w:val="Heading3"/>
      </w:pPr>
      <w:r>
        <w:t xml:space="preserve">Что проверяется</w:t>
      </w:r>
    </w:p>
    <w:p>
      <w:pPr>
        <w:pStyle w:val="ListParagraph"/>
        <w:numPr>
          <w:ilvl w:val="0"/>
          <w:numId w:val="3"/>
        </w:numPr>
      </w:pPr>
      <w:r>
        <w:t xml:space="preserve">Фактическая точность и наличие источников.</w:t>
      </w:r>
    </w:p>
    <w:p>
      <w:pPr>
        <w:pStyle w:val="ListParagraph"/>
        <w:numPr>
          <w:ilvl w:val="0"/>
          <w:numId w:val="3"/>
        </w:numPr>
      </w:pPr>
      <w:r>
        <w:t xml:space="preserve">Структура: заголовки идут по возрастанию уровня.</w:t>
      </w:r>
    </w:p>
    <w:p>
      <w:pPr>
        <w:pStyle w:val="ListParagraph"/>
        <w:numPr>
          <w:ilvl w:val="1"/>
          <w:numId w:val="3"/>
        </w:numPr>
      </w:pPr>
      <w:r>
        <w:t xml:space="preserve">Пропуск уровня считается ошибкой.</w:t>
      </w:r>
    </w:p>
    <w:p>
      <w:pPr>
        <w:pStyle w:val="ListParagraph"/>
        <w:numPr>
          <w:ilvl w:val="1"/>
          <w:numId w:val="3"/>
        </w:numPr>
      </w:pPr>
      <w:r>
        <w:t xml:space="preserve">Заголовок не заканчивается точкой.</w:t>
      </w:r>
    </w:p>
    <w:p>
      <w:pPr>
        <w:pStyle w:val="ListParagraph"/>
        <w:numPr>
          <w:ilvl w:val="0"/>
          <w:numId w:val="3"/>
        </w:numPr>
      </w:pPr>
      <w:r>
        <w:t xml:space="preserve">Единообразие терминов по всему тексту.</w:t>
      </w:r>
    </w:p>
    <w:p>
      <w:pPr>
        <w:pStyle w:val="Heading2"/>
      </w:pPr>
      <w:r>
        <w:t xml:space="preserve">Сроки и ответственные</w:t>
      </w:r>
    </w:p>
    <w:p>
      <w:r>
        <w:t xml:space="preserve">Сводная таблица по этапам обработки материала: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1800"/>
      </w:tblGrid>
      <w:tr>
        <w:trPr>
          <w:tblHeader/>
        </w:trP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dxa" w:w="3200"/>
            <w:shd w:fill="E8E8E8" w:val="clear"/>
          </w:tcPr>
          <w:p>
            <w:r>
              <w:rPr>
                <w:b/>
                <w:bCs/>
              </w:rPr>
              <w:t xml:space="preserve">Что делается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</w:rPr>
              <w:t xml:space="preserve">Срок</w:t>
            </w:r>
          </w:p>
        </w:tc>
        <w:tc>
          <w:tcPr>
            <w:tcW w:type="dxa" w:w="1800"/>
            <w:shd w:fill="E8E8E8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Приём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Проверка комплектности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 день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Координатор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Вычитка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Факты, стиль, структура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 дня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Редактор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Правки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Внесение и сверка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 дня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Автор</w:t>
            </w:r>
          </w:p>
        </w:tc>
      </w:tr>
      <w:tr>
        <w:tc>
          <w:tcPr>
            <w:tcW w:type="dxa" w:w="7200"/>
            <w:gridSpan w:val="3"/>
          </w:tcPr>
          <w:p>
            <w:r>
              <w:rPr>
                <w:b w:val="false"/>
                <w:bCs w:val="false"/>
              </w:rPr>
              <w:t xml:space="preserve">Итого по циклу — 6 рабочих дней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/>
    <w:p>
      <w:pPr>
        <w:pStyle w:val="Heading2"/>
      </w:pPr>
      <w:r>
        <w:t xml:space="preserve">Примечания</w:t>
      </w:r>
    </w:p>
    <w:p>
      <w:pPr>
        <w:pBdr>
          <w:left w:val="single" w:color="AAAAAA" w:sz="12" w:space="12"/>
        </w:pBdr>
        <w:ind w:left="360"/>
      </w:pPr>
      <w:r>
        <w:rPr>
          <w:i/>
          <w:iCs/>
        </w:rPr>
        <w:t xml:space="preserve">Сроки указаны в рабочих днях и отсчитываются от момента передачи материала, а не от даты его создания.</w:t>
      </w:r>
    </w:p>
    <w:p>
      <w:r>
        <w:t xml:space="preserve">Технические обозначения набираются моноширинным шрифтом: </w:t>
      </w:r>
      <w:r>
        <w:rPr>
          <w:rFonts w:ascii="Courier New" w:cs="Courier New" w:eastAsia="Courier New" w:hAnsi="Courier New"/>
        </w:rPr>
        <w:t xml:space="preserve">content-type</w:t>
      </w:r>
      <w:r>
        <w:t xml:space="preserve">, </w:t>
      </w:r>
      <w:r>
        <w:rPr>
          <w:rFonts w:ascii="Courier New" w:cs="Courier New" w:eastAsia="Courier New" w:hAnsi="Courier New"/>
        </w:rPr>
        <w:t xml:space="preserve">UTF-8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wedjfobguwwlsuhkd3gt" Type="http://schemas.openxmlformats.org/officeDocument/2006/relationships/hyperlink" Target="https://example.com/styleguid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2026-08-12T21:36:31.166Z</dcterms:created>
  <dcterms:modified xsi:type="dcterms:W3CDTF">2026-08-12T21:36:31.182Z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