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B2602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农业RWA</w:t>
      </w:r>
      <w:r>
        <w:rPr>
          <w:rFonts w:hint="eastAsia"/>
          <w:b/>
          <w:bCs/>
          <w:lang w:val="en-US" w:eastAsia="zh-CN"/>
        </w:rPr>
        <w:t xml:space="preserve"> (</w:t>
      </w:r>
      <w:r>
        <w:rPr>
          <w:rFonts w:hint="eastAsia"/>
          <w:b/>
          <w:bCs/>
        </w:rPr>
        <w:t>真实世界资产</w:t>
      </w:r>
      <w:r>
        <w:rPr>
          <w:rFonts w:hint="eastAsia"/>
          <w:b/>
          <w:bCs/>
          <w:lang w:val="en-US" w:eastAsia="zh-CN"/>
        </w:rPr>
        <w:t xml:space="preserve">) </w:t>
      </w:r>
      <w:r>
        <w:rPr>
          <w:rFonts w:hint="eastAsia"/>
          <w:b/>
          <w:bCs/>
        </w:rPr>
        <w:t>2025年度发展报告</w:t>
      </w:r>
    </w:p>
    <w:p w14:paraId="003E8818">
      <w:pPr>
        <w:jc w:val="center"/>
        <w:rPr>
          <w:rFonts w:hint="eastAsia"/>
          <w:b/>
          <w:bCs/>
        </w:rPr>
      </w:pPr>
    </w:p>
    <w:p w14:paraId="28B695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/>
        </w:rPr>
      </w:pPr>
      <w:r>
        <w:rPr>
          <w:rFonts w:hint="eastAsia"/>
        </w:rPr>
        <w:t>发布机构</w:t>
      </w:r>
      <w:r>
        <w:rPr>
          <w:rFonts w:hint="eastAsia"/>
          <w:lang w:val="en-US" w:eastAsia="zh-CN"/>
        </w:rPr>
        <w:t xml:space="preserve">: </w:t>
      </w:r>
      <w:r>
        <w:rPr>
          <w:rFonts w:hint="eastAsia"/>
        </w:rPr>
        <w:t>BLUEPINE TECH FOUNDATION战略研究院</w:t>
      </w:r>
    </w:p>
    <w:p w14:paraId="03AF90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/>
        </w:rPr>
      </w:pPr>
      <w:r>
        <w:rPr>
          <w:rFonts w:hint="eastAsia"/>
        </w:rPr>
        <w:t>报告日期</w:t>
      </w:r>
      <w:r>
        <w:rPr>
          <w:rFonts w:hint="eastAsia"/>
          <w:lang w:val="en-US" w:eastAsia="zh-CN"/>
        </w:rPr>
        <w:t xml:space="preserve">: </w:t>
      </w:r>
      <w:r>
        <w:rPr>
          <w:rFonts w:hint="eastAsia"/>
        </w:rPr>
        <w:t>2025年1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月</w:t>
      </w:r>
      <w:bookmarkStart w:id="0" w:name="_GoBack"/>
      <w:bookmarkEnd w:id="0"/>
    </w:p>
    <w:p w14:paraId="5A9D39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核心摘要</w:t>
      </w:r>
      <w:r>
        <w:rPr>
          <w:rFonts w:hint="eastAsia"/>
          <w:lang w:eastAsia="zh-CN"/>
        </w:rPr>
        <w:t xml:space="preserve">: </w:t>
      </w:r>
      <w:r>
        <w:rPr>
          <w:rFonts w:hint="eastAsia"/>
        </w:rPr>
        <w:t>本报告系统梳理了2025年全球农业真实世界资产通证化的发展态势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当前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RWA市场整体高速增长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但农业领域占比不足3%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与全球约2.7万亿美元的农业资产规模形成巨大反差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预示着巨大的潜力与机遇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报告深入分析了农业RWA面临的估值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合规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流动性等核心挑战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并通过典型案例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揭示了其重塑农业资产格局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赋能中小农户与连接全球资本的革命性路径</w:t>
      </w:r>
      <w:r>
        <w:rPr>
          <w:rFonts w:hint="eastAsia"/>
          <w:lang w:eastAsia="zh-CN"/>
        </w:rPr>
        <w:t xml:space="preserve">. </w:t>
      </w:r>
    </w:p>
    <w:p w14:paraId="6D16D6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/>
        </w:rPr>
      </w:pPr>
      <w:r>
        <w:rPr>
          <w:rFonts w:hint="eastAsia"/>
        </w:rPr>
        <w:t>一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 xml:space="preserve"> 市场全景</w:t>
      </w:r>
      <w:r>
        <w:rPr>
          <w:rFonts w:hint="eastAsia"/>
          <w:lang w:eastAsia="zh-CN"/>
        </w:rPr>
        <w:t xml:space="preserve">: </w:t>
      </w:r>
      <w:r>
        <w:rPr>
          <w:rFonts w:hint="eastAsia"/>
        </w:rPr>
        <w:t>高速增长下的结构性失衡</w:t>
      </w:r>
    </w:p>
    <w:p w14:paraId="52D83F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1.  整体市场爆发式增长</w:t>
      </w:r>
    </w:p>
    <w:p w14:paraId="5E3457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过去三年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RWA市场实现了约130% 的增长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规模从2023年的100亿美元跃升至2025年的233.9亿美元</w:t>
      </w:r>
      <w:r>
        <w:rPr>
          <w:rFonts w:hint="eastAsia"/>
          <w:lang w:eastAsia="zh-CN"/>
        </w:rPr>
        <w:t xml:space="preserve">. </w:t>
      </w:r>
    </w:p>
    <w:p w14:paraId="1ECC5A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2.  农业RWA潜力巨大但占比极低</w:t>
      </w:r>
    </w:p>
    <w:p w14:paraId="6BADC3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当前RWA市场的增长主要集中在信贷与国债代币化领域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两者合计占据约90% 的市场份额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相比之下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全球价值约2.7万亿美元的农业资产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在RWA市场的占比却不足3%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这种结构性失衡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恰恰预示着农业RWA拥有极为广阔的增量空间</w:t>
      </w:r>
      <w:r>
        <w:rPr>
          <w:rFonts w:hint="eastAsia"/>
          <w:lang w:eastAsia="zh-CN"/>
        </w:rPr>
        <w:t xml:space="preserve">. </w:t>
      </w:r>
    </w:p>
    <w:p w14:paraId="335511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/>
        </w:rPr>
      </w:pPr>
      <w:r>
        <w:rPr>
          <w:rFonts w:hint="eastAsia"/>
        </w:rPr>
        <w:t>二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 xml:space="preserve"> 核心挑战</w:t>
      </w:r>
      <w:r>
        <w:rPr>
          <w:rFonts w:hint="eastAsia"/>
          <w:lang w:eastAsia="zh-CN"/>
        </w:rPr>
        <w:t xml:space="preserve">: </w:t>
      </w:r>
      <w:r>
        <w:rPr>
          <w:rFonts w:hint="eastAsia"/>
        </w:rPr>
        <w:t>农业资产上链的四大困局</w:t>
      </w:r>
    </w:p>
    <w:p w14:paraId="724D18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1.  估值黑箱</w:t>
      </w:r>
    </w:p>
    <w:p w14:paraId="7CDDBA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农田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作物等非标准化资产缺乏可信的数据锚点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导致其链上估值面临巨大挑战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价格波动容忍度曾因此暴跌40%</w:t>
      </w:r>
      <w:r>
        <w:rPr>
          <w:rFonts w:hint="eastAsia"/>
          <w:lang w:eastAsia="zh-CN"/>
        </w:rPr>
        <w:t xml:space="preserve">. </w:t>
      </w:r>
    </w:p>
    <w:p w14:paraId="7C1290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2.  合规迷宫</w:t>
      </w:r>
    </w:p>
    <w:p w14:paraId="3BD5E6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农业资产跨境交易面临多法域监管重叠的问题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产生的合规摩擦平均吞噬项目23% 的利润</w:t>
      </w:r>
      <w:r>
        <w:rPr>
          <w:rFonts w:hint="eastAsia"/>
          <w:lang w:eastAsia="zh-CN"/>
        </w:rPr>
        <w:t xml:space="preserve">. </w:t>
      </w:r>
    </w:p>
    <w:p w14:paraId="2C92A4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3.  流动性断层</w:t>
      </w:r>
    </w:p>
    <w:p w14:paraId="01A0B9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链下资产与链上价值转换效率不足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导致农业RWA代币的日均换手率不足传统证券型RWA的1</w:t>
      </w:r>
      <w:r>
        <w:rPr>
          <w:rFonts w:hint="eastAsia"/>
          <w:lang w:val="en-US" w:eastAsia="zh-CN"/>
        </w:rPr>
        <w:t>/</w:t>
      </w:r>
      <w:r>
        <w:rPr>
          <w:rFonts w:hint="eastAsia"/>
        </w:rPr>
        <w:t>10</w:t>
      </w:r>
      <w:r>
        <w:rPr>
          <w:rFonts w:hint="eastAsia"/>
          <w:lang w:eastAsia="zh-CN"/>
        </w:rPr>
        <w:t xml:space="preserve">. </w:t>
      </w:r>
    </w:p>
    <w:p w14:paraId="468339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4.  传统利益链反噬</w:t>
      </w:r>
    </w:p>
    <w:p w14:paraId="75D5A8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原有的中介体系对链上透明化存在抵触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导致高达71% 的农业RWA项目遭遇线下渠道的封杀</w:t>
      </w:r>
      <w:r>
        <w:rPr>
          <w:rFonts w:hint="eastAsia"/>
          <w:lang w:eastAsia="zh-CN"/>
        </w:rPr>
        <w:t xml:space="preserve">. </w:t>
      </w:r>
    </w:p>
    <w:p w14:paraId="40E932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/>
        </w:rPr>
      </w:pPr>
      <w:r>
        <w:rPr>
          <w:rFonts w:hint="eastAsia"/>
        </w:rPr>
        <w:t>三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 xml:space="preserve"> 破局之道</w:t>
      </w:r>
      <w:r>
        <w:rPr>
          <w:rFonts w:hint="eastAsia"/>
          <w:lang w:eastAsia="zh-CN"/>
        </w:rPr>
        <w:t xml:space="preserve">: </w:t>
      </w:r>
      <w:r>
        <w:rPr>
          <w:rFonts w:hint="eastAsia"/>
        </w:rPr>
        <w:t>技术创新与模式实践</w:t>
      </w:r>
    </w:p>
    <w:p w14:paraId="5ED13B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面对上述挑战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行业先锋已探索出有效的破局路径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其核心是通过技术组合拳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构建可信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合规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高效的农业RWA基础设施</w:t>
      </w:r>
      <w:r>
        <w:rPr>
          <w:rFonts w:hint="eastAsia"/>
          <w:lang w:eastAsia="zh-CN"/>
        </w:rPr>
        <w:t xml:space="preserve">. </w:t>
      </w:r>
    </w:p>
    <w:p w14:paraId="6CD0F3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1.  物联网+区块链双锚定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破解估值黑箱</w:t>
      </w:r>
    </w:p>
    <w:p w14:paraId="5C6C59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    - 实践案例</w:t>
      </w:r>
      <w:r>
        <w:rPr>
          <w:rFonts w:hint="eastAsia"/>
          <w:lang w:eastAsia="zh-CN"/>
        </w:rPr>
        <w:t xml:space="preserve">: </w:t>
      </w:r>
      <w:r>
        <w:rPr>
          <w:rFonts w:hint="eastAsia"/>
        </w:rPr>
        <w:t>某农产品链上化平台在加纳的可可农场部署土壤传感器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实时回传降雨量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病虫害指数等数据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并生成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“</w:t>
      </w:r>
      <w:r>
        <w:rPr>
          <w:rFonts w:hint="eastAsia"/>
        </w:rPr>
        <w:t>产量NFT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作为链上凭证</w:t>
      </w:r>
      <w:r>
        <w:rPr>
          <w:rFonts w:hint="eastAsia"/>
          <w:lang w:eastAsia="zh-CN"/>
        </w:rPr>
        <w:t xml:space="preserve">. </w:t>
      </w:r>
    </w:p>
    <w:p w14:paraId="5F5F2E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- 实践效果</w:t>
      </w:r>
      <w:r>
        <w:rPr>
          <w:rFonts w:hint="eastAsia"/>
          <w:lang w:eastAsia="zh-CN"/>
        </w:rPr>
        <w:t xml:space="preserve">: </w:t>
      </w:r>
      <w:r>
        <w:rPr>
          <w:rFonts w:hint="eastAsia"/>
        </w:rPr>
        <w:t>买家验货后付款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使交易价格争议率下降了52%</w:t>
      </w:r>
      <w:r>
        <w:rPr>
          <w:rFonts w:hint="eastAsia"/>
          <w:lang w:eastAsia="zh-CN"/>
        </w:rPr>
        <w:t xml:space="preserve">. </w:t>
      </w:r>
    </w:p>
    <w:p w14:paraId="6FA347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2.  李嘉图合约应对多法域监管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穿越合规迷宫</w:t>
      </w:r>
    </w:p>
    <w:p w14:paraId="021183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- 实践案例</w:t>
      </w:r>
      <w:r>
        <w:rPr>
          <w:rFonts w:hint="eastAsia"/>
          <w:lang w:eastAsia="zh-CN"/>
        </w:rPr>
        <w:t xml:space="preserve">: </w:t>
      </w:r>
      <w:r>
        <w:rPr>
          <w:rFonts w:hint="eastAsia"/>
        </w:rPr>
        <w:t>基于英国</w:t>
      </w:r>
      <w:r>
        <w:rPr>
          <w:rFonts w:hint="eastAsia"/>
          <w:lang w:val="en-US" w:eastAsia="zh-CN"/>
        </w:rPr>
        <w:t xml:space="preserve"> &lt;</w:t>
      </w:r>
      <w:r>
        <w:rPr>
          <w:rFonts w:hint="eastAsia"/>
        </w:rPr>
        <w:t>2023电子贸易文件法</w:t>
      </w:r>
      <w:r>
        <w:rPr>
          <w:rFonts w:hint="eastAsia"/>
          <w:lang w:val="en-US" w:eastAsia="zh-CN"/>
        </w:rPr>
        <w:t xml:space="preserve">&gt; 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将原产地证书等13类文件嵌入智能合约</w:t>
      </w:r>
      <w:r>
        <w:rPr>
          <w:rFonts w:hint="eastAsia"/>
          <w:lang w:eastAsia="zh-CN"/>
        </w:rPr>
        <w:t xml:space="preserve">. </w:t>
      </w:r>
    </w:p>
    <w:p w14:paraId="42FD7E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- 实践效果</w:t>
      </w:r>
      <w:r>
        <w:rPr>
          <w:rFonts w:hint="eastAsia"/>
          <w:lang w:eastAsia="zh-CN"/>
        </w:rPr>
        <w:t xml:space="preserve">: </w:t>
      </w:r>
      <w:r>
        <w:rPr>
          <w:rFonts w:hint="eastAsia"/>
        </w:rPr>
        <w:t>货物进入不同市场</w:t>
      </w:r>
      <w:r>
        <w:rPr>
          <w:rFonts w:hint="eastAsia"/>
          <w:lang w:eastAsia="zh-CN"/>
        </w:rPr>
        <w:t xml:space="preserve"> (</w:t>
      </w:r>
      <w:r>
        <w:rPr>
          <w:rFonts w:hint="eastAsia"/>
        </w:rPr>
        <w:t>如欧盟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东南亚</w:t>
      </w:r>
      <w:r>
        <w:rPr>
          <w:rFonts w:hint="eastAsia"/>
          <w:lang w:eastAsia="zh-CN"/>
        </w:rPr>
        <w:t xml:space="preserve">) </w:t>
      </w:r>
      <w:r>
        <w:rPr>
          <w:rFonts w:hint="eastAsia"/>
        </w:rPr>
        <w:t>时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合约自动调用当地合规条款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使合规成本从原来的12% 降至3%</w:t>
      </w:r>
      <w:r>
        <w:rPr>
          <w:rFonts w:hint="eastAsia"/>
          <w:lang w:eastAsia="zh-CN"/>
        </w:rPr>
        <w:t xml:space="preserve"> (</w:t>
      </w:r>
      <w:r>
        <w:rPr>
          <w:rFonts w:hint="eastAsia"/>
        </w:rPr>
        <w:t>以可可豆为例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每吨可节省约465美元)</w:t>
      </w:r>
      <w:r>
        <w:rPr>
          <w:rFonts w:hint="eastAsia"/>
          <w:lang w:eastAsia="zh-CN"/>
        </w:rPr>
        <w:t xml:space="preserve">. </w:t>
      </w:r>
    </w:p>
    <w:p w14:paraId="60AF74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3.  动态清算引擎+稳定池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疏通流动性死结</w:t>
      </w:r>
    </w:p>
    <w:p w14:paraId="71D672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- 实践路径</w:t>
      </w:r>
      <w:r>
        <w:rPr>
          <w:rFonts w:hint="eastAsia"/>
          <w:lang w:eastAsia="zh-CN"/>
        </w:rPr>
        <w:t xml:space="preserve">: </w:t>
      </w:r>
      <w:r>
        <w:rPr>
          <w:rFonts w:hint="eastAsia"/>
        </w:rPr>
        <w:t>平台通过建立美元稳定池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并配合动态清算机制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显著提升了农产品代币在链上的交易与结算速度</w:t>
      </w:r>
      <w:r>
        <w:rPr>
          <w:rFonts w:hint="eastAsia"/>
          <w:lang w:eastAsia="zh-CN"/>
        </w:rPr>
        <w:t xml:space="preserve">. </w:t>
      </w:r>
    </w:p>
    <w:p w14:paraId="23C26A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- 实践效果</w:t>
      </w:r>
      <w:r>
        <w:rPr>
          <w:rFonts w:hint="eastAsia"/>
          <w:lang w:eastAsia="zh-CN"/>
        </w:rPr>
        <w:t xml:space="preserve">: </w:t>
      </w:r>
      <w:r>
        <w:rPr>
          <w:rFonts w:hint="eastAsia"/>
        </w:rPr>
        <w:t>此类模式的采用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使代币日均换手率较行业平均水平翻倍</w:t>
      </w:r>
      <w:r>
        <w:rPr>
          <w:rFonts w:hint="eastAsia"/>
          <w:lang w:eastAsia="zh-CN"/>
        </w:rPr>
        <w:t xml:space="preserve">. </w:t>
      </w:r>
    </w:p>
    <w:p w14:paraId="6C565B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/>
        </w:rPr>
      </w:pPr>
      <w:r>
        <w:rPr>
          <w:rFonts w:hint="eastAsia"/>
        </w:rPr>
        <w:t>四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 xml:space="preserve"> 案例深潜</w:t>
      </w:r>
      <w:r>
        <w:rPr>
          <w:rFonts w:hint="eastAsia"/>
          <w:lang w:eastAsia="zh-CN"/>
        </w:rPr>
        <w:t xml:space="preserve">: </w:t>
      </w:r>
      <w:r>
        <w:rPr>
          <w:rFonts w:hint="eastAsia"/>
        </w:rPr>
        <w:t>从地方特产到全球碳汇</w:t>
      </w:r>
    </w:p>
    <w:p w14:paraId="3EF3C18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Dimitra与MANTRA的跨国合作</w:t>
      </w:r>
    </w:p>
    <w:p w14:paraId="5FF8A3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- 资产类别</w:t>
      </w:r>
      <w:r>
        <w:rPr>
          <w:rFonts w:hint="eastAsia"/>
          <w:lang w:eastAsia="zh-CN"/>
        </w:rPr>
        <w:t xml:space="preserve">: </w:t>
      </w:r>
      <w:r>
        <w:rPr>
          <w:rFonts w:hint="eastAsia"/>
        </w:rPr>
        <w:t>聚焦于巴西亚马逊地区的可可生产和墨西哥的森林碳汇项目</w:t>
      </w:r>
      <w:r>
        <w:rPr>
          <w:rFonts w:hint="eastAsia"/>
          <w:lang w:eastAsia="zh-CN"/>
        </w:rPr>
        <w:t xml:space="preserve">. </w:t>
      </w:r>
    </w:p>
    <w:p w14:paraId="0CBA15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- 模式与愿景</w:t>
      </w:r>
      <w:r>
        <w:rPr>
          <w:rFonts w:hint="eastAsia"/>
          <w:lang w:eastAsia="zh-CN"/>
        </w:rPr>
        <w:t xml:space="preserve">: </w:t>
      </w:r>
      <w:r>
        <w:rPr>
          <w:rFonts w:hint="eastAsia"/>
        </w:rPr>
        <w:t>通过代币化绿色农业资产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为农民提供创新融资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并让全球投资者能够参与可持续价值创造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在墨西哥的项目覆盖超过20,000公顷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预计在未来十年内生成近100万个可追溯的碳信用</w:t>
      </w:r>
      <w:r>
        <w:rPr>
          <w:rFonts w:hint="eastAsia"/>
          <w:lang w:eastAsia="zh-CN"/>
        </w:rPr>
        <w:t xml:space="preserve">. </w:t>
      </w:r>
    </w:p>
    <w:p w14:paraId="16A939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. </w:t>
      </w:r>
      <w:r>
        <w:rPr>
          <w:rFonts w:hint="eastAsia"/>
          <w:lang w:val="en-US" w:eastAsia="zh-CN"/>
        </w:rPr>
        <w:t xml:space="preserve">亚洲某地区 </w:t>
      </w:r>
      <w:r>
        <w:rPr>
          <w:rFonts w:hint="default"/>
          <w:lang w:val="en-US" w:eastAsia="zh-CN"/>
        </w:rPr>
        <w:t>“</w:t>
      </w:r>
      <w:r>
        <w:rPr>
          <w:rFonts w:hint="eastAsia"/>
        </w:rPr>
        <w:t>马陆葡萄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的RWA实践</w:t>
      </w:r>
    </w:p>
    <w:p w14:paraId="0CC8EC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- 资产数字化</w:t>
      </w:r>
      <w:r>
        <w:rPr>
          <w:rFonts w:hint="eastAsia"/>
          <w:lang w:eastAsia="zh-CN"/>
        </w:rPr>
        <w:t xml:space="preserve">: </w:t>
      </w:r>
      <w:r>
        <w:rPr>
          <w:rFonts w:hint="eastAsia"/>
        </w:rPr>
        <w:t>通过物联网设备采集土壤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光照等数据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并在</w:t>
      </w:r>
      <w:r>
        <w:rPr>
          <w:rFonts w:hint="eastAsia"/>
          <w:lang w:val="en-US" w:eastAsia="zh-CN"/>
        </w:rPr>
        <w:t>该地区</w:t>
      </w:r>
      <w:r>
        <w:rPr>
          <w:rFonts w:hint="eastAsia"/>
        </w:rPr>
        <w:t>数字农业云平台上实现全程可追溯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最终将葡萄资产通过区块链技术以NFT形式发行</w:t>
      </w:r>
      <w:r>
        <w:rPr>
          <w:rFonts w:hint="eastAsia"/>
          <w:lang w:eastAsia="zh-CN"/>
        </w:rPr>
        <w:t xml:space="preserve">. </w:t>
      </w:r>
    </w:p>
    <w:p w14:paraId="75F752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- 品牌与效益双赢</w:t>
      </w:r>
      <w:r>
        <w:rPr>
          <w:rFonts w:hint="eastAsia"/>
          <w:lang w:eastAsia="zh-CN"/>
        </w:rPr>
        <w:t xml:space="preserve">: </w:t>
      </w:r>
      <w:r>
        <w:rPr>
          <w:rFonts w:hint="eastAsia"/>
        </w:rPr>
        <w:t>RWA化为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“</w:t>
      </w:r>
      <w:r>
        <w:rPr>
          <w:rFonts w:hint="eastAsia"/>
        </w:rPr>
        <w:t>马陆葡萄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筑起了数字时代的品牌壁垒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使其在2025年稳住了销量和价格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成为市场中的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“</w:t>
      </w:r>
      <w:r>
        <w:rPr>
          <w:rFonts w:hint="eastAsia"/>
        </w:rPr>
        <w:t>孤勇者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并吸引了多地考察学习</w:t>
      </w:r>
      <w:r>
        <w:rPr>
          <w:rFonts w:hint="eastAsia"/>
          <w:lang w:eastAsia="zh-CN"/>
        </w:rPr>
        <w:t xml:space="preserve">. </w:t>
      </w:r>
    </w:p>
    <w:p w14:paraId="3C0B4D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3.  产业动向</w:t>
      </w:r>
      <w:r>
        <w:rPr>
          <w:rFonts w:hint="eastAsia"/>
          <w:lang w:eastAsia="zh-CN"/>
        </w:rPr>
        <w:t xml:space="preserve">: </w:t>
      </w:r>
      <w:r>
        <w:rPr>
          <w:rFonts w:hint="eastAsia"/>
        </w:rPr>
        <w:t>巨头布局与生态构建</w:t>
      </w:r>
    </w:p>
    <w:p w14:paraId="70CEF7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- 一亩田集团与香港BC科技达成战略合作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计划购入不低于1200万美元的稳定币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用于优化全球农业贸易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并共同开发珍稀农产品RWA</w:t>
      </w:r>
      <w:r>
        <w:rPr>
          <w:rFonts w:hint="eastAsia"/>
          <w:lang w:eastAsia="zh-CN"/>
        </w:rPr>
        <w:t xml:space="preserve">. </w:t>
      </w:r>
    </w:p>
    <w:p w14:paraId="3F06B1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- 港深农业RWA创新论坛成功举办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探讨了沉香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陈皮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八角等高价值特色农产品的资产化路径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旨在构建大湾区农业资产数字化试点</w:t>
      </w:r>
      <w:r>
        <w:rPr>
          <w:rFonts w:hint="eastAsia"/>
          <w:lang w:eastAsia="zh-CN"/>
        </w:rPr>
        <w:t xml:space="preserve">. </w:t>
      </w:r>
    </w:p>
    <w:p w14:paraId="1A12D3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/>
        </w:rPr>
      </w:pPr>
      <w:r>
        <w:rPr>
          <w:rFonts w:hint="eastAsia"/>
        </w:rPr>
        <w:t>五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 xml:space="preserve"> 未来展望</w:t>
      </w:r>
      <w:r>
        <w:rPr>
          <w:rFonts w:hint="eastAsia"/>
          <w:lang w:eastAsia="zh-CN"/>
        </w:rPr>
        <w:t xml:space="preserve">: </w:t>
      </w:r>
      <w:r>
        <w:rPr>
          <w:rFonts w:hint="eastAsia"/>
        </w:rPr>
        <w:t>趋势与建议</w:t>
      </w:r>
    </w:p>
    <w:p w14:paraId="414702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</w:rPr>
        <w:t>物联网+区块链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构建可信数据锚点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零知识证明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联邦学习等隐私计算技术将更广泛地应用于数据采集与使用环节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平衡隐私保护与价值挖掘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特色农产品成为突破口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如同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“</w:t>
      </w:r>
      <w:r>
        <w:rPr>
          <w:rFonts w:hint="eastAsia"/>
        </w:rPr>
        <w:t>马陆葡萄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沉香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陈皮等高价值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易于标准化的特色农产品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将继续作为农业RWA实践的先锋样板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其成功经验将逐步向大宗农产品领域渗透</w:t>
      </w:r>
      <w:r>
        <w:rPr>
          <w:rFonts w:hint="eastAsia"/>
          <w:lang w:eastAsia="zh-CN"/>
        </w:rPr>
        <w:t xml:space="preserve">. </w:t>
      </w:r>
    </w:p>
    <w:p w14:paraId="5F4BB1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给参与者的建议</w:t>
      </w:r>
    </w:p>
    <w:p w14:paraId="165C49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- 对于农户/合作社</w:t>
      </w:r>
      <w:r>
        <w:rPr>
          <w:rFonts w:hint="eastAsia"/>
          <w:lang w:eastAsia="zh-CN"/>
        </w:rPr>
        <w:t xml:space="preserve">: </w:t>
      </w:r>
      <w:r>
        <w:rPr>
          <w:rFonts w:hint="eastAsia"/>
        </w:rPr>
        <w:t>应积极拥抱农业数字化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通过合规渠道记录和上传农事数据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为潜在的资产化奠定可信数据基石</w:t>
      </w:r>
      <w:r>
        <w:rPr>
          <w:rFonts w:hint="eastAsia"/>
          <w:lang w:eastAsia="zh-CN"/>
        </w:rPr>
        <w:t xml:space="preserve">. </w:t>
      </w:r>
    </w:p>
    <w:p w14:paraId="54C0D6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- 对于投资者</w:t>
      </w:r>
      <w:r>
        <w:rPr>
          <w:rFonts w:hint="eastAsia"/>
          <w:lang w:eastAsia="zh-CN"/>
        </w:rPr>
        <w:t xml:space="preserve">: </w:t>
      </w:r>
      <w:r>
        <w:rPr>
          <w:rFonts w:hint="eastAsia"/>
        </w:rPr>
        <w:t>需重点关注项目的技术架构是否有效解决了估值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合规与流动性三大痛点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以及底层资产的真实性与盈利能力</w:t>
      </w:r>
      <w:r>
        <w:rPr>
          <w:rFonts w:hint="eastAsia"/>
          <w:lang w:eastAsia="zh-CN"/>
        </w:rPr>
        <w:t xml:space="preserve">. </w:t>
      </w:r>
    </w:p>
    <w:p w14:paraId="16D9DE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- 对于行业建设者</w:t>
      </w:r>
      <w:r>
        <w:rPr>
          <w:rFonts w:hint="eastAsia"/>
          <w:lang w:eastAsia="zh-CN"/>
        </w:rPr>
        <w:t xml:space="preserve">: </w:t>
      </w:r>
      <w:r>
        <w:rPr>
          <w:rFonts w:hint="eastAsia"/>
        </w:rPr>
        <w:t>应致力于构建开放的技术标准与协作生态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推动农业RWA从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“</w:t>
      </w:r>
      <w:r>
        <w:rPr>
          <w:rFonts w:hint="eastAsia"/>
        </w:rPr>
        <w:t>个案创新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走向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“</w:t>
      </w:r>
      <w:r>
        <w:rPr>
          <w:rFonts w:hint="eastAsia"/>
        </w:rPr>
        <w:t>规模应用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 xml:space="preserve">. </w:t>
      </w:r>
    </w:p>
    <w:p w14:paraId="5D88F4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/>
        </w:rPr>
      </w:pPr>
      <w:r>
        <w:rPr>
          <w:rFonts w:hint="eastAsia"/>
        </w:rPr>
        <w:t>结语</w:t>
      </w:r>
    </w:p>
    <w:p w14:paraId="34EC64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农业RWA不再是遥不可及的概念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而已成为正在发生的实践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它正悄然推动一场深刻的变革</w:t>
      </w:r>
      <w:r>
        <w:rPr>
          <w:rFonts w:hint="eastAsia"/>
          <w:lang w:eastAsia="zh-CN"/>
        </w:rPr>
        <w:t xml:space="preserve">: </w:t>
      </w:r>
      <w:r>
        <w:rPr>
          <w:rFonts w:hint="eastAsia"/>
        </w:rPr>
        <w:t>让每一亩农田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每一株作物的价值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都能在信任的链条上自由流动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最终汇入全球资本的海洋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反哺那片滋养我们的土地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 xml:space="preserve"> 前路虽仍有挑战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但方向已然清晰</w:t>
      </w:r>
      <w:r>
        <w:rPr>
          <w:rFonts w:hint="eastAsia"/>
          <w:lang w:eastAsia="zh-CN"/>
        </w:rPr>
        <w:t xml:space="preserve">. </w:t>
      </w:r>
    </w:p>
    <w:p w14:paraId="7F4E0A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【温馨提示】</w:t>
      </w:r>
    </w:p>
    <w:p w14:paraId="4B5EC7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本报告内容基于公开信息和研究分析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仅供参考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不构成任何投资建议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市场有风险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决策需谨慎</w:t>
      </w:r>
      <w:r>
        <w:rPr>
          <w:rFonts w:hint="eastAsia"/>
          <w:lang w:eastAsia="zh-CN"/>
        </w:rPr>
        <w:t xml:space="preserve">.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84CE05"/>
    <w:multiLevelType w:val="singleLevel"/>
    <w:tmpl w:val="C484CE0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5426A28"/>
    <w:rsid w:val="558431B2"/>
    <w:rsid w:val="608461AC"/>
    <w:rsid w:val="75081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1894</Words>
  <Characters>2041</Characters>
  <Lines>0</Lines>
  <Paragraphs>0</Paragraphs>
  <TotalTime>6</TotalTime>
  <ScaleCrop>false</ScaleCrop>
  <LinksUpToDate>false</LinksUpToDate>
  <CharactersWithSpaces>2337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2025-10-30T10:57:00Z</dcterms:created>
  <dc:creator>sichu</dc:creator>
  <cp:lastModifiedBy>天海</cp:lastModifiedBy>
  <dcterms:modified xsi:type="dcterms:W3CDTF">2025-11-03T04:27:39Z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eyJoZGlkIjoiZTA4YmQ0YTRjMDgyZGMwM2IyMTQ2YjkxZGJkZGRlYzEiLCJ1c2VySWQiOiIxNDQ4MTIwODI4In0=</vt:lpwstr>
  </property>
  <property fmtid="{D5CDD505-2E9C-101B-9397-08002B2CF9AE}" pid="4" name="ICV">
    <vt:lpwstr>4A8EAF3AF7D34C59B122A26B73827CED_12</vt:lpwstr>
  </property>
</Properties>
</file>