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27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jc w:val="center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Paradigm Shift in Agricultural Digitalization: From Web2 to Web3</w:t>
      </w:r>
    </w:p>
    <w:p w14:paraId="2F3A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Issuing Institution: BLUEPINE TECH FOUNDATION Strategic Research Institute</w:t>
      </w:r>
    </w:p>
    <w:p w14:paraId="6146C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Report Date: November 2025</w:t>
      </w:r>
    </w:p>
    <w:p w14:paraId="0A375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Abstract: The digital transformation of agriculture is undergoing a profound "paradigm shift." At the core of this transformation is a move from the Web2 model, characterized by platform-centricity and data monopolies, towards a new Web3 paradigm that is user-centric and value-sharing. This article will delve into the essence of this shift and explain how the Agri-Eco Smart Chain becomes the key infrastructure for building the future agricultural digital ecosystem.</w:t>
      </w:r>
    </w:p>
    <w:p w14:paraId="5C84D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Introduction: The Current State – "Optimized" but not "Empowered"</w:t>
      </w:r>
    </w:p>
    <w:p w14:paraId="2CB4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Over the past decade, agricultural technology has made significant progress under the Web2 model. Drone mapping, IoT sensors, and cloud-based farm management software have greatly optimized agricultural production processes. However, this model has inherent limitations: data is collected into centralized platforms, forming new "data silos"; while providing valuable data, farmers cannot control the ownership of their data, let alone share the vast majority of the value it creates. This is a dilemma of being "optimized, but not empowered."</w:t>
      </w:r>
    </w:p>
    <w:p w14:paraId="3B7C7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Paradigm Comparison: Fundamental Differences Between Web2 and Web3 Agricultural Digitalization</w:t>
      </w:r>
    </w:p>
    <w:p w14:paraId="0FDD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Dimension | Web2 Model (Platform-Centric) | Web3 Model (Decentralized Ecosystem) |</w:t>
      </w:r>
    </w:p>
    <w:p w14:paraId="1199E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:--- | :--- | :--- |</w:t>
      </w:r>
    </w:p>
    <w:p w14:paraId="5A84F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Data Ownership | Owned by the platform, contributed by users | Owned by users, self-controlled |</w:t>
      </w:r>
    </w:p>
    <w:p w14:paraId="73BD8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Value Distribution | Platform captures most value | Value is fairly distributed to contributors (farmers, data producers) |</w:t>
      </w:r>
    </w:p>
    <w:p w14:paraId="6F580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Trust Mechanism | Relies on platform brand and centralized endorsement | Relies on blockchain mathematical consensus and cryptographic proofs |</w:t>
      </w:r>
    </w:p>
    <w:p w14:paraId="1FCD1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System Architecture | Walled garden, data silos | Open protocols, composable ecosystem |</w:t>
      </w:r>
    </w:p>
    <w:p w14:paraId="3EDF7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| Driver of Innovation | Platform-led, slower pace | Community-driven, diverse flourishing |</w:t>
      </w:r>
    </w:p>
    <w:p w14:paraId="46159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Core Shift: Moving from an "extractive" economic model to a "regenerative" economic model. Web3 does not aim to replace precision agriculture technologies but to upgrade its production relations and value distribution mechanisms.</w:t>
      </w:r>
    </w:p>
    <w:p w14:paraId="7A46D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Core Pillars of the Web3 Paradigm and Their Agricultural Applications</w:t>
      </w:r>
    </w:p>
    <w:p w14:paraId="26853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  <w:lang w:eastAsia="zh-CN"/>
        </w:rPr>
      </w:pPr>
      <w:r>
        <w:rPr>
          <w:rFonts w:hint="eastAsia" w:ascii="MiSans" w:hAnsi="MiSans" w:eastAsia="MiSans" w:cs="MiSans"/>
          <w:sz w:val="20"/>
          <w:szCs w:val="20"/>
        </w:rPr>
        <w:t>1.  Data Assetization and Trusted Circulation</w:t>
      </w:r>
    </w:p>
    <w:p w14:paraId="1F248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Web2 Pain Point: Agricultural data is trapped in multiple disconnected applications, making its value difficult to measure and circulate.</w:t>
      </w:r>
    </w:p>
    <w:p w14:paraId="24113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Web3 Solution: Data ownership is established via blockchain, turning it into user-owned, readable data assets. Each piece of soil data, crop growth record is hashed onto the chain, generating a unique credential. Farmers can autonomously choose to sell data in trusted markets or use it for AI training, receiving direct income. Data transforms from a "cost" into an "asset."</w:t>
      </w:r>
      <w:bookmarkStart w:id="0" w:name="_GoBack"/>
      <w:bookmarkEnd w:id="0"/>
    </w:p>
    <w:p w14:paraId="5D26B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  <w:lang w:eastAsia="zh-CN"/>
        </w:rPr>
      </w:pPr>
      <w:r>
        <w:rPr>
          <w:rFonts w:hint="eastAsia" w:ascii="MiSans" w:hAnsi="MiSans" w:eastAsia="MiSans" w:cs="MiSans"/>
          <w:sz w:val="20"/>
          <w:szCs w:val="20"/>
        </w:rPr>
        <w:t>2.  Value Establishment and Fair Distribution</w:t>
      </w:r>
    </w:p>
    <w:p w14:paraId="5038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Web2 Pain Point: Farmers, as the starting point of the value chain, receive minimal profits due to information asymmetry.</w:t>
      </w:r>
    </w:p>
    <w:p w14:paraId="28C47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Web3 Solution: Smart contracts automatically execute value distribution. When an RWA asset is successfully financed, when data is purchased by a research institution, or when supply chain traceability information is queried by a consumer, proceeds are distributed to every contributor in real-time, transparently, according to predefined rules.</w:t>
      </w:r>
    </w:p>
    <w:p w14:paraId="2F7FB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  <w:lang w:eastAsia="zh-CN"/>
        </w:rPr>
      </w:pPr>
      <w:r>
        <w:rPr>
          <w:rFonts w:hint="eastAsia" w:ascii="MiSans" w:hAnsi="MiSans" w:eastAsia="MiSans" w:cs="MiSans"/>
          <w:sz w:val="20"/>
          <w:szCs w:val="20"/>
        </w:rPr>
        <w:t>3.  Community-Driven and Open Governance</w:t>
      </w:r>
    </w:p>
    <w:p w14:paraId="79F7F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Web2 Pain Point: Platform rules are set unilaterally by the company; users have no say.</w:t>
      </w:r>
    </w:p>
    <w:p w14:paraId="175B0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    Web3 Solution: Introduce Decentralized Autonomous Organization (DAO) governance. AESC holders can vote on key platform parameters (e.g., fee rates, fund usage). This ensures the ecosystem's development aligns with community interests, building a new collaborative relationship based on co-governance, co-building, and sharing.</w:t>
      </w:r>
    </w:p>
    <w:p w14:paraId="2ED72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AESC: The Bridge and Cornerstone for Realizing the Paradigm Shift</w:t>
      </w:r>
    </w:p>
    <w:p w14:paraId="1B845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The Agri-Eco Smart Chain does not aim to rebuild from scratch but to serve as a bridge connecting existing agricultural realities with the Web3 future. Our design philosophy is "inheritance-based innovation."</w:t>
      </w:r>
    </w:p>
    <w:p w14:paraId="5F35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Technology Layer: We employ semantic blockchain to enhance data processing efficiency, enabling on-chain operations to understand the business meaning of agricultural data; through a federated learning framework, AI models can be trained collaboratively without the data leaving its source, perfectly resolving the conflict between data privacy and value extraction.</w:t>
      </w:r>
    </w:p>
    <w:p w14:paraId="0C29C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Economic Layer: The AESC token is the ecosystem's "value bloodline." It is not merely a payment tool but a composite carrier of incentives, governance, and rights, ensuring a closed-loop flow of value within the ecosystem.</w:t>
      </w:r>
    </w:p>
    <w:p w14:paraId="69752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Application Layer: We provide out-of-the-box agricultural smart contract template libraries covering scenarios like RWA issuance, data trading, and crop insurance, significantly lowering the barrier for developers to build agricultural DApps.</w:t>
      </w:r>
    </w:p>
    <w:p w14:paraId="13A28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Case Comparison:</w:t>
      </w:r>
    </w:p>
    <w:p w14:paraId="03BBD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On a Web2 Platform: A farmer uses software; their data might be used by the platform to optimize its own advertising business, with no benefit to the farmer.</w:t>
      </w:r>
    </w:p>
    <w:p w14:paraId="6AF9C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In the AESC Ecosystem: The same farmer uploads data and receives a Data NFT. An AI company accesses this data to train a model and pays AESC; an insurance company uses the data for risk assessment and lowers the farmer's premium; the farmer thus gains multiple, sustainable revenue streams.</w:t>
      </w:r>
    </w:p>
    <w:p w14:paraId="75FDB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Challenges and the Future</w:t>
      </w:r>
    </w:p>
    <w:p w14:paraId="2A3C3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A paradigm shift inevitably comes with challenges: technological complexity, user awareness barriers, regulatory uncertainty, etc. However, the wheel of history never stops. The vision of Agricultural Web3 is to build a more resilient, transparent, and fair global food system.</w:t>
      </w:r>
    </w:p>
    <w:p w14:paraId="3F22C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Bluepine Tech Foundation believes that the future agricultural ecosystem will not be an empire dominated by a single giant, but a vibrant "digital nation" composed of countless innovative nodes. The goal of AESC is to provide the constitution, currency, and infrastructure for this nation.</w:t>
      </w:r>
    </w:p>
    <w:p w14:paraId="0D04B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Conclusion:</w:t>
      </w:r>
    </w:p>
    <w:p w14:paraId="1E117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The paradigm shift from Web2 to Web3 is an irreversible trend in agricultural digitalization. This is not merely a technological upgrade but a rebalancing of power, rights, and benefits. The Agri-Eco Smart Chain stands at the forefront of this historic turning point. We invite every visionary individual to participate in and witness this great agricultural digital revolution.</w:t>
      </w:r>
    </w:p>
    <w:p w14:paraId="3BAF7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>Next Steps:</w:t>
      </w:r>
    </w:p>
    <w:p w14:paraId="5E05D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[Download the AESC Project Whitepaper] to gain an in-depth understanding of the technical architecture and economic model.</w:t>
      </w:r>
    </w:p>
    <w:p w14:paraId="0775A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[Join Our Community] to participate in discussions about the future of Agricultural Web3.</w:t>
      </w:r>
    </w:p>
    <w:p w14:paraId="1F9BC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180" w:lineRule="auto"/>
        <w:textAlignment w:val="auto"/>
        <w:rPr>
          <w:rFonts w:hint="eastAsia" w:ascii="MiSans" w:hAnsi="MiSans" w:eastAsia="MiSans" w:cs="MiSans"/>
          <w:sz w:val="20"/>
          <w:szCs w:val="20"/>
        </w:rPr>
      </w:pPr>
      <w:r>
        <w:rPr>
          <w:rFonts w:hint="eastAsia" w:ascii="MiSans" w:hAnsi="MiSans" w:eastAsia="MiSans" w:cs="MiSans"/>
          <w:sz w:val="20"/>
          <w:szCs w:val="20"/>
        </w:rPr>
        <w:t xml:space="preserve">   [Explore Ecosystem Collaboration] If you are a developer or enterprise, you are welcome to co-build the ecosystem with us.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87246"/>
    <w:rsid w:val="75AB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979</Words>
  <Characters>5759</Characters>
  <Lines>0</Lines>
  <Paragraphs>0</Paragraphs>
  <TotalTime>2</TotalTime>
  <ScaleCrop>false</ScaleCrop>
  <LinksUpToDate>false</LinksUpToDate>
  <CharactersWithSpaces>6765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2025-11-03T04:42:00Z</dcterms:created>
  <dc:creator>sichu</dc:creator>
  <cp:lastModifiedBy>天海</cp:lastModifiedBy>
  <dcterms:modified xsi:type="dcterms:W3CDTF">2025-11-03T06:26:22Z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23B5AB51B3FF4EFAB5AAF379626FBC77_12</vt:lpwstr>
  </property>
</Properties>
</file>