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4C0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全球融资IEO方案</w:t>
      </w:r>
    </w:p>
    <w:p w14:paraId="7194AD39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F6F754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代币总量为16亿枚，其中20%（3.2亿枚）用于I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E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O</w:t>
      </w:r>
    </w:p>
    <w:p w14:paraId="4AC88AD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2190"/>
        <w:gridCol w:w="1960"/>
        <w:gridCol w:w="2430"/>
      </w:tblGrid>
      <w:tr w14:paraId="543CF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4" w:hRule="atLeast"/>
          <w:tblHeader/>
          <w:jc w:val="center"/>
        </w:trPr>
        <w:tc>
          <w:tcPr>
            <w:tcW w:w="1378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7483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219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F256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代币数量（枚）</w:t>
            </w:r>
          </w:p>
        </w:tc>
        <w:tc>
          <w:tcPr>
            <w:tcW w:w="196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1FA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价格（美元）</w:t>
            </w:r>
          </w:p>
        </w:tc>
        <w:tc>
          <w:tcPr>
            <w:tcW w:w="243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5C0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募集资金（美元）</w:t>
            </w:r>
          </w:p>
        </w:tc>
      </w:tr>
      <w:tr w14:paraId="3066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4" w:hRule="atLeast"/>
          <w:jc w:val="center"/>
        </w:trPr>
        <w:tc>
          <w:tcPr>
            <w:tcW w:w="137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E01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第一阶段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235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100,000,000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262C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0.125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389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12,500,000</w:t>
            </w:r>
          </w:p>
        </w:tc>
      </w:tr>
      <w:tr w14:paraId="1468D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4" w:hRule="atLeast"/>
          <w:jc w:val="center"/>
        </w:trPr>
        <w:tc>
          <w:tcPr>
            <w:tcW w:w="137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CCD91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第二阶段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042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110,000,000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3BA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0.150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994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16,500,000</w:t>
            </w:r>
          </w:p>
        </w:tc>
      </w:tr>
      <w:tr w14:paraId="02F3D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4" w:hRule="atLeast"/>
          <w:jc w:val="center"/>
        </w:trPr>
        <w:tc>
          <w:tcPr>
            <w:tcW w:w="137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EE40D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第三阶段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7AD8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110,000,000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EAA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0.175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F3C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19,250,000</w:t>
            </w:r>
          </w:p>
        </w:tc>
      </w:tr>
      <w:tr w14:paraId="6281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4" w:hRule="atLeast"/>
          <w:jc w:val="center"/>
        </w:trPr>
        <w:tc>
          <w:tcPr>
            <w:tcW w:w="137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5C19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总计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176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320,000,000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78517">
            <w:pPr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BD7C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51,250,000</w:t>
            </w:r>
          </w:p>
        </w:tc>
      </w:tr>
    </w:tbl>
    <w:p w14:paraId="50ED95D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价格差异分析：</w:t>
      </w:r>
    </w:p>
    <w:p w14:paraId="57D407D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第一阶段到第二阶段涨幅：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（0.150 - 0.125）/ 0.125 = 20%</w:t>
      </w:r>
    </w:p>
    <w:p w14:paraId="6F42DD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第二阶段到第三阶段涨幅：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（0.175 - 0.150）/ 0.150 ≈ 16.7%</w:t>
      </w:r>
    </w:p>
    <w:p w14:paraId="4B5173B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7102197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6E17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结束后代币释放细节</w:t>
      </w:r>
    </w:p>
    <w:p w14:paraId="4112C74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结束后，投资者获得的代币将采用“一次性释放 + 线性释放”的方式。具体方案如下：</w:t>
      </w:r>
    </w:p>
    <w:p w14:paraId="0B7405F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一次性释放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：在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结束后的7天内，立即释放投资者购买代币总量的 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0%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</w:t>
      </w:r>
    </w:p>
    <w:p w14:paraId="2EA3AD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线性释放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：剩余 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9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0%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的代币将在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结束后的 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12个月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内线性释放。线性释放从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结束后第8天开始，每月释放一次，每次释放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90%÷12=7.5%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</w:t>
      </w:r>
    </w:p>
    <w:p w14:paraId="13C94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2472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推荐奖励方案（只奖励一级）</w:t>
      </w:r>
    </w:p>
    <w:p w14:paraId="2F05CE42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推荐奖励旨在激励现有投资者推荐新投资者参与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。方案仅奖励一级推荐（即直接推荐）。</w:t>
      </w:r>
    </w:p>
    <w:p w14:paraId="302551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奖励比例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：推荐人可获得被推荐人购买金额的 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5%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作为代币奖励。奖励代币的价值按被推荐人购买阶段的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价格计算。</w:t>
      </w:r>
    </w:p>
    <w:p w14:paraId="4E00B5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奖励来源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：奖励代币来自项目方的团队激励（占代币总量的其他部分），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不占用本次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的3.2亿枚代币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，以确保募集资金目标完整。</w:t>
      </w:r>
    </w:p>
    <w:p w14:paraId="025FF3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奖励释放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：奖励代币在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结束后，与投资者代币的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一次性释放部分一同发放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，立即全额给予推荐人。</w:t>
      </w:r>
    </w:p>
    <w:p w14:paraId="715054D9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示例：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投资者A推荐了投资者B。</w:t>
      </w:r>
    </w:p>
    <w:p w14:paraId="5F3526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投资者B在第二阶段成功购买了价值1,500美元的代币（按0.150美元/枚，购买了10,000枚代币）。</w:t>
      </w:r>
    </w:p>
    <w:p w14:paraId="21E278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投资者A将获得的奖励为：$1,500 * 5% = $75。</w:t>
      </w:r>
    </w:p>
    <w:p w14:paraId="4AFDF0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按第二阶段的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价格0.150美元/枚计算，投资者A将获得 $75 / 0.150 = 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500枚代币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作为推荐奖励。</w:t>
      </w:r>
    </w:p>
    <w:p w14:paraId="0105E9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这500枚奖励代币将在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IEO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结束后7天内一次性发放给投资者A。</w:t>
      </w:r>
    </w:p>
    <w:p w14:paraId="7FDB449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597B8F9C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8B39F"/>
    <w:p w14:paraId="316CC41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郑州用户融资方案</w:t>
      </w:r>
    </w:p>
    <w:p w14:paraId="3714A9CD"/>
    <w:p w14:paraId="7F1DDF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郑州团队在IEO1000$的前提下，IEO期间处理10%的泡沫即3200万￥（约450万$）。按第三阶段IEO价格0.175$计算，即450万÷0.175约等于2571万枚代币。直接用储备额或合作伙伴配额代币补发相应泡沫</w:t>
      </w:r>
    </w:p>
    <w:p w14:paraId="2FE312B9"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731"/>
        <w:gridCol w:w="1460"/>
        <w:gridCol w:w="2380"/>
        <w:gridCol w:w="2676"/>
      </w:tblGrid>
      <w:tr w14:paraId="1877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4510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分配用途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5ABF5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比例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9365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数量（亿枚）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CB9E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解锁机制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20AD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合约功能说明</w:t>
            </w:r>
          </w:p>
        </w:tc>
      </w:tr>
      <w:tr w14:paraId="605C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B9315">
            <w:pPr>
              <w:pStyle w:val="8"/>
              <w:rPr>
                <w:rFonts w:hint="eastAsia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私募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0024B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20</w:t>
            </w:r>
            <w:r>
              <w:rPr>
                <w:color w:val="auto"/>
                <w:sz w:val="21"/>
                <w:szCs w:val="21"/>
              </w:rPr>
              <w:t>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D713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3.2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9C29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color w:val="auto"/>
                <w:sz w:val="21"/>
                <w:szCs w:val="21"/>
              </w:rPr>
              <w:t>上线即解锁 10%</w:t>
            </w: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剩下分12个月线性解锁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40269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无锁定，具体分发地址及数量由官网决定</w:t>
            </w:r>
          </w:p>
        </w:tc>
      </w:tr>
      <w:tr w14:paraId="3D27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8EC15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生态建设基金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110FD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40%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C447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6.4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CC03A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每月解锁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1/40</w:t>
            </w:r>
            <w:r>
              <w:rPr>
                <w:color w:val="auto"/>
                <w:sz w:val="21"/>
                <w:szCs w:val="21"/>
              </w:rPr>
              <w:t>，分 40 个月解锁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57F0">
            <w:pPr>
              <w:pStyle w:val="8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初始为锁定状态，12月1日开始按解锁机制分批解锁</w:t>
            </w:r>
          </w:p>
        </w:tc>
      </w:tr>
      <w:tr w14:paraId="488B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6951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团队激励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F61B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15%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4527B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2.4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2E88">
            <w:pPr>
              <w:pStyle w:val="8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上线解锁10%，剩余分18个</w:t>
            </w:r>
            <w:r>
              <w:rPr>
                <w:rFonts w:hint="default"/>
                <w:color w:val="auto"/>
                <w:sz w:val="21"/>
                <w:szCs w:val="21"/>
              </w:rPr>
              <w:t>月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线性解锁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E30DE">
            <w:pPr>
              <w:pStyle w:val="8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初始为锁定状态，上线交易所后，由合约所有者设定（锁定/解锁）状态</w:t>
            </w:r>
          </w:p>
        </w:tc>
      </w:tr>
      <w:tr w14:paraId="1C10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F4B6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战略投资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AA25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10%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DC96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1.6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A07A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color w:val="auto"/>
                <w:sz w:val="21"/>
                <w:szCs w:val="21"/>
              </w:rPr>
              <w:t>锁定期 6 个月后</w:t>
            </w: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分24个月线性解锁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76D5B">
            <w:pPr>
              <w:pStyle w:val="8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初始为锁定状态，26年5月开始按解锁机制解锁</w:t>
            </w:r>
          </w:p>
        </w:tc>
      </w:tr>
      <w:tr w14:paraId="1335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741E9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社区空投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F54D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2%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7ED3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0.32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7B576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rFonts w:hint="default"/>
                <w:color w:val="auto"/>
                <w:sz w:val="21"/>
                <w:szCs w:val="21"/>
              </w:rPr>
              <w:t>完成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任务后，分6个月线性释放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2EDD">
            <w:pPr>
              <w:pStyle w:val="8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初始为锁定状态，合约所有者可全部解锁</w:t>
            </w:r>
          </w:p>
        </w:tc>
      </w:tr>
      <w:tr w14:paraId="3707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EED99">
            <w:pPr>
              <w:pStyle w:val="8"/>
              <w:rPr>
                <w:rFonts w:hint="eastAsia" w:eastAsia="等线"/>
                <w:color w:val="auto"/>
                <w:sz w:val="21"/>
                <w:szCs w:val="21"/>
                <w:lang w:eastAsia="zh-CN"/>
              </w:rPr>
            </w:pPr>
            <w:r>
              <w:rPr>
                <w:color w:val="auto"/>
                <w:sz w:val="21"/>
                <w:szCs w:val="21"/>
              </w:rPr>
              <w:t>储备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额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06D2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10%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8FD3A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1.6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33B0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通过社区投票决定解锁额度，</w:t>
            </w:r>
            <w:r>
              <w:rPr>
                <w:color w:val="auto"/>
                <w:sz w:val="21"/>
                <w:szCs w:val="21"/>
              </w:rPr>
              <w:t>用于风险应对与应急补贴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2DD9">
            <w:pPr>
              <w:pStyle w:val="8"/>
              <w:rPr>
                <w:rFonts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为锁定状态，合约所有者可全部解锁</w:t>
            </w:r>
          </w:p>
        </w:tc>
      </w:tr>
      <w:tr w14:paraId="42AE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7A0A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合作伙伴</w:t>
            </w:r>
          </w:p>
        </w:tc>
        <w:tc>
          <w:tcPr>
            <w:tcW w:w="7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947B8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color w:val="auto"/>
                <w:sz w:val="21"/>
                <w:szCs w:val="21"/>
              </w:rPr>
              <w:t>%</w:t>
            </w:r>
          </w:p>
        </w:tc>
        <w:tc>
          <w:tcPr>
            <w:tcW w:w="14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6843">
            <w:pPr>
              <w:pStyle w:val="8"/>
              <w:rPr>
                <w:rFonts w:hint="default" w:eastAsia="等线"/>
                <w:color w:val="auto"/>
                <w:sz w:val="21"/>
                <w:szCs w:val="21"/>
                <w:lang w:val="en-US" w:eastAsia="zh-CN"/>
              </w:rPr>
            </w:pPr>
            <w:r>
              <w:rPr>
                <w:color w:val="auto"/>
                <w:sz w:val="21"/>
                <w:szCs w:val="21"/>
              </w:rPr>
              <w:t>0.</w:t>
            </w: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48</w:t>
            </w:r>
          </w:p>
        </w:tc>
        <w:tc>
          <w:tcPr>
            <w:tcW w:w="23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F952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按合作进度解锁，最高分 12 个月</w:t>
            </w:r>
          </w:p>
        </w:tc>
        <w:tc>
          <w:tcPr>
            <w:tcW w:w="267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C367">
            <w:pPr>
              <w:pStyle w:val="8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val="en-US" w:eastAsia="zh-CN"/>
              </w:rPr>
              <w:t>为锁定状态，合约所有者可全部解锁</w:t>
            </w:r>
          </w:p>
        </w:tc>
      </w:tr>
    </w:tbl>
    <w:p w14:paraId="09E04E6E"/>
    <w:p w14:paraId="7FCA1A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043C1"/>
    <w:rsid w:val="1EEE2882"/>
    <w:rsid w:val="2E6E175B"/>
    <w:rsid w:val="3D4257C1"/>
    <w:rsid w:val="61301E84"/>
    <w:rsid w:val="684024F8"/>
    <w:rsid w:val="6B97192B"/>
    <w:rsid w:val="76B1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853</Words>
  <Characters>1128</Characters>
  <Lines>0</Lines>
  <Paragraphs>0</Paragraphs>
  <TotalTime>0</TotalTime>
  <ScaleCrop>false</ScaleCrop>
  <LinksUpToDate>false</LinksUpToDate>
  <CharactersWithSpaces>1166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2025-09-27T12:50:00Z</dcterms:created>
  <dc:creator>sichu</dc:creator>
  <cp:lastModifiedBy>天海</cp:lastModifiedBy>
  <dcterms:modified xsi:type="dcterms:W3CDTF">2025-10-07T14:21:40Z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9B0DD4E012DD440FB105DC2CD57C5000_12</vt:lpwstr>
  </property>
</Properties>
</file>