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X2692b0311fbc1a79620696e6d63324a1a7d5cbf"/>
    <w:p>
      <w:pPr>
        <w:pStyle w:val="Heading1"/>
      </w:pPr>
      <w:r>
        <w:t xml:space="preserve">AXIS — méthodologie de référence (outil d'évaluation critique des études transversales)</w:t>
      </w:r>
    </w:p>
    <w:p>
      <w:pPr>
        <w:pStyle w:val="BlockText"/>
      </w:pPr>
      <w:r>
        <w:t xml:space="preserve">Document de référence compilé pour SciencesWiki (évaluation critique). Sources</w:t>
      </w:r>
      <w:r>
        <w:t xml:space="preserve"> </w:t>
      </w:r>
      <w:r>
        <w:rPr>
          <w:b/>
          <w:bCs/>
        </w:rPr>
        <w:t xml:space="preserve">officielles</w:t>
      </w:r>
      <w:r>
        <w:t xml:space="preserve"> </w:t>
      </w:r>
      <w:r>
        <w:t xml:space="preserve">citées en bas. La grille et le barème sont reproduits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du</w:t>
      </w:r>
      <w:r>
        <w:t xml:space="preserve"> </w:t>
      </w:r>
      <w:r>
        <w:t xml:space="preserve">papier ; les « Interprétations » par item sont des notes d'aide</w:t>
      </w:r>
      <w:r>
        <w:t xml:space="preserve"> </w:t>
      </w:r>
      <w:r>
        <w:rPr>
          <w:b/>
          <w:bCs/>
        </w:rPr>
        <w:t xml:space="preserve">fidèles à la</w:t>
      </w:r>
      <w:r>
        <w:rPr>
          <w:b/>
          <w:bCs/>
        </w:rPr>
        <w:t xml:space="preserve"> </w:t>
      </w:r>
      <w:r>
        <w:rPr>
          <w:b/>
          <w:bCs/>
        </w:rPr>
        <w:t xml:space="preserve">méthodologie</w:t>
      </w:r>
      <w:r>
        <w:t xml:space="preserve"> </w:t>
      </w:r>
      <w:r>
        <w:t xml:space="preserve">(le « support document » officiel des auteurs est une annexe BMJ Open</w:t>
      </w:r>
      <w:r>
        <w:t xml:space="preserve"> </w:t>
      </w:r>
      <w:r>
        <w:t xml:space="preserve">non extractible automatiquement — lien plus bas — mais son contenu est standard).</w:t>
      </w:r>
    </w:p>
    <w:bookmarkStart w:id="10" w:name="référence-primaire"/>
    <w:p>
      <w:pPr>
        <w:pStyle w:val="Heading2"/>
      </w:pPr>
      <w:r>
        <w:t xml:space="preserve">Référence primaire</w:t>
      </w:r>
    </w:p>
    <w:p>
      <w:pPr>
        <w:pStyle w:val="FirstParagraph"/>
      </w:pPr>
      <w:r>
        <w:t xml:space="preserve">Downes MJ, Brennan ML, Williams HC, Dean RS.</w:t>
      </w:r>
      <w:r>
        <w:t xml:space="preserve"> </w:t>
      </w:r>
      <w:r>
        <w:rPr>
          <w:b/>
          <w:bCs/>
        </w:rPr>
        <w:t xml:space="preserve">Development of a critical appraisal tool</w:t>
      </w:r>
      <w:r>
        <w:rPr>
          <w:b/>
          <w:bCs/>
        </w:rPr>
        <w:t xml:space="preserve"> </w:t>
      </w:r>
      <w:r>
        <w:rPr>
          <w:b/>
          <w:bCs/>
        </w:rPr>
        <w:t xml:space="preserve">to assess the quality of cross-sectional studies (AXIS).</w:t>
      </w:r>
      <w:r>
        <w:t xml:space="preserve"> </w:t>
      </w:r>
      <w:r>
        <w:rPr>
          <w:i/>
          <w:iCs/>
        </w:rPr>
        <w:t xml:space="preserve">BMJ Open</w:t>
      </w:r>
      <w:r>
        <w:t xml:space="preserve"> </w:t>
      </w:r>
      <w:r>
        <w:t xml:space="preserve">2016;6(12):e011458.</w:t>
      </w:r>
    </w:p>
    <w:p>
      <w:pPr>
        <w:pStyle w:val="Compact"/>
        <w:numPr>
          <w:ilvl w:val="0"/>
          <w:numId w:val="1001"/>
        </w:numPr>
      </w:pPr>
      <w:r>
        <w:t xml:space="preserve">DOI :</w:t>
      </w:r>
      <w:r>
        <w:t xml:space="preserve"> </w:t>
      </w:r>
      <w:r>
        <w:rPr>
          <w:rStyle w:val="VerbatimChar"/>
        </w:rPr>
        <w:t xml:space="preserve">10.1136/bmjopen-2016-011458</w:t>
      </w:r>
    </w:p>
    <w:p>
      <w:pPr>
        <w:pStyle w:val="Compact"/>
        <w:numPr>
          <w:ilvl w:val="0"/>
          <w:numId w:val="1001"/>
        </w:numPr>
      </w:pPr>
      <w:r>
        <w:t xml:space="preserve">Texte intégral gratuit :</w:t>
      </w:r>
      <w:r>
        <w:t xml:space="preserve"> </w:t>
      </w:r>
      <w:hyperlink r:id="rId9">
        <w:r>
          <w:rPr>
            <w:rStyle w:val="Hyperlink"/>
          </w:rPr>
          <w:t xml:space="preserve">https://pmc.ncbi.nlm.nih.gov/articles/PMC5168618/</w:t>
        </w:r>
      </w:hyperlink>
    </w:p>
    <w:p>
      <w:pPr>
        <w:pStyle w:val="Compact"/>
        <w:numPr>
          <w:ilvl w:val="0"/>
          <w:numId w:val="1001"/>
        </w:numPr>
      </w:pPr>
      <w:r>
        <w:t xml:space="preserve">« Support document » officiel (aide à l'usage, par item) : annexe de l'article BMJ Open</w:t>
      </w:r>
      <w:r>
        <w:t xml:space="preserve"> </w:t>
      </w:r>
      <w:r>
        <w:t xml:space="preserve">(rubrique</w:t>
      </w:r>
      <w:r>
        <w:t xml:space="preserve"> </w:t>
      </w:r>
      <w:r>
        <w:rPr>
          <w:i/>
          <w:iCs/>
        </w:rPr>
        <w:t xml:space="preserve">Data supplement</w:t>
      </w:r>
      <w:r>
        <w:t xml:space="preserve"> </w:t>
      </w:r>
      <w:r>
        <w:t xml:space="preserve">— nécessite un navigateur ; BMJ bloque les robots).</w:t>
      </w:r>
    </w:p>
    <w:bookmarkEnd w:id="10"/>
    <w:bookmarkStart w:id="11" w:name="principes-verbatim-du-papier"/>
    <w:p>
      <w:pPr>
        <w:pStyle w:val="Heading2"/>
      </w:pPr>
      <w:r>
        <w:t xml:space="preserve">Principes (verbatim du papier)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Portée</w:t>
      </w:r>
      <w:r>
        <w:t xml:space="preserve"> </w:t>
      </w:r>
      <w:r>
        <w:t xml:space="preserve">: uniquement les</w:t>
      </w:r>
      <w:r>
        <w:t xml:space="preserve"> </w:t>
      </w:r>
      <w:r>
        <w:rPr>
          <w:b/>
          <w:bCs/>
        </w:rPr>
        <w:t xml:space="preserve">études transversales</w:t>
      </w:r>
      <w:r>
        <w:t xml:space="preserve"> </w:t>
      </w:r>
      <w:r>
        <w:t xml:space="preserve">(cross-sectional / enquêtes de</w:t>
      </w:r>
      <w:r>
        <w:t xml:space="preserve"> </w:t>
      </w:r>
      <w:r>
        <w:t xml:space="preserve">prévalence à un instant T). Développé par</w:t>
      </w:r>
      <w:r>
        <w:t xml:space="preserve"> </w:t>
      </w:r>
      <w:r>
        <w:rPr>
          <w:b/>
          <w:bCs/>
        </w:rPr>
        <w:t xml:space="preserve">méthode Delphi</w:t>
      </w:r>
      <w:r>
        <w:t xml:space="preserve"> </w:t>
      </w:r>
      <w:r>
        <w:t xml:space="preserve">(3 tours, consensus d'experts).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 items</w:t>
      </w:r>
      <w:r>
        <w:t xml:space="preserve">, réponses</w:t>
      </w:r>
      <w:r>
        <w:t xml:space="preserve"> </w:t>
      </w:r>
      <w:r>
        <w:rPr>
          <w:b/>
          <w:bCs/>
        </w:rPr>
        <w:t xml:space="preserve">Oui / Non / Ne sait pas</w:t>
      </w:r>
      <w:r>
        <w:t xml:space="preserve"> </w:t>
      </w:r>
      <w:r>
        <w:t xml:space="preserve">(« Yes / No / Don't know »).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 de score chiffré</w:t>
      </w:r>
      <w:r>
        <w:t xml:space="preserve"> </w:t>
      </w:r>
      <w:r>
        <w:t xml:space="preserve">: c'est un choix délibéré des auteurs. L'évaluation de la</w:t>
      </w:r>
      <w:r>
        <w:t xml:space="preserve"> </w:t>
      </w:r>
      <w:r>
        <w:t xml:space="preserve">qualité exige un</w:t>
      </w:r>
      <w:r>
        <w:t xml:space="preserve"> </w:t>
      </w:r>
      <w:r>
        <w:rPr>
          <w:b/>
          <w:bCs/>
        </w:rPr>
        <w:t xml:space="preserve">jugement subjectif par aspect</w:t>
      </w:r>
      <w:r>
        <w:t xml:space="preserve">, pas une agrégation en une note unique.</w:t>
      </w:r>
    </w:p>
    <w:p>
      <w:pPr>
        <w:pStyle w:val="Compact"/>
        <w:numPr>
          <w:ilvl w:val="0"/>
          <w:numId w:val="1002"/>
        </w:numPr>
      </w:pPr>
      <w:r>
        <w:t xml:space="preserve">Trois domaines :</w:t>
      </w:r>
      <w:r>
        <w:t xml:space="preserve"> </w:t>
      </w:r>
      <w:r>
        <w:rPr>
          <w:b/>
          <w:bCs/>
        </w:rPr>
        <w:t xml:space="preserve">Qualité de report</w:t>
      </w:r>
      <w:r>
        <w:t xml:space="preserve"> </w:t>
      </w:r>
      <w:r>
        <w:t xml:space="preserve">(1,4,10,11,12,16,18) ·</w:t>
      </w:r>
      <w:r>
        <w:t xml:space="preserve"> </w:t>
      </w:r>
      <w:r>
        <w:rPr>
          <w:b/>
          <w:bCs/>
        </w:rPr>
        <w:t xml:space="preserve">Qualité du design</w:t>
      </w:r>
      <w:r>
        <w:t xml:space="preserve"> </w:t>
      </w:r>
      <w:r>
        <w:t xml:space="preserve">(2,3,5,8,17,19,20) ·</w:t>
      </w:r>
      <w:r>
        <w:t xml:space="preserve"> </w:t>
      </w:r>
      <w:r>
        <w:rPr>
          <w:b/>
          <w:bCs/>
        </w:rPr>
        <w:t xml:space="preserve">Risque de biais</w:t>
      </w:r>
      <w:r>
        <w:t xml:space="preserve"> </w:t>
      </w:r>
      <w:r>
        <w:t xml:space="preserve">(6,7,9,13,14,15).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Items inversés</w:t>
      </w:r>
      <w:r>
        <w:t xml:space="preserve"> </w:t>
      </w:r>
      <w:r>
        <w:t xml:space="preserve">(⚠️ un « Oui » indique une qualité MOINDRE) :</w:t>
      </w:r>
      <w:r>
        <w:t xml:space="preserve"> </w:t>
      </w:r>
      <w:r>
        <w:rPr>
          <w:b/>
          <w:bCs/>
        </w:rPr>
        <w:t xml:space="preserve">item 13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item 19</w:t>
      </w:r>
      <w:r>
        <w:t xml:space="preserve">.</w:t>
      </w:r>
    </w:p>
    <w:bookmarkEnd w:id="11"/>
    <w:bookmarkStart w:id="12" w:name="les-20-items"/>
    <w:p>
      <w:pPr>
        <w:pStyle w:val="Heading2"/>
      </w:pPr>
      <w:r>
        <w:t xml:space="preserve">Les 20 items</w:t>
      </w:r>
    </w:p>
    <w:p>
      <w:pPr>
        <w:pStyle w:val="FirstParagraph"/>
      </w:pPr>
      <w:r>
        <w:t xml:space="preserve">Format :</w:t>
      </w:r>
      <w:r>
        <w:t xml:space="preserve"> </w:t>
      </w:r>
      <w:r>
        <w:rPr>
          <w:b/>
          <w:bCs/>
        </w:rPr>
        <w:t xml:space="preserve">N. Question officielle (FR)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EN (verbatim)</w:t>
      </w:r>
      <w:r>
        <w:t xml:space="preserve"> </w:t>
      </w:r>
      <w:r>
        <w:t xml:space="preserve">— [domaine]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Interprétation</w:t>
      </w:r>
      <w:r>
        <w:t xml:space="preserve"> </w:t>
      </w:r>
      <w:r>
        <w:t xml:space="preserve">(aide à l'évaluation).</w:t>
      </w:r>
    </w:p>
    <w:p>
      <w:pPr>
        <w:pStyle w:val="BodyText"/>
      </w:pPr>
      <w:r>
        <w:rPr>
          <w:b/>
          <w:bCs/>
        </w:rPr>
        <w:t xml:space="preserve">1. Les objectifs de l'étude étaient-ils clairs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aims/objectives of the study clear?</w:t>
      </w:r>
      <w:r>
        <w:t xml:space="preserve"> </w:t>
      </w:r>
      <w:r>
        <w:t xml:space="preserve">— [Report]</w:t>
      </w:r>
      <w:r>
        <w:t xml:space="preserve"> </w:t>
      </w:r>
      <w:r>
        <w:t xml:space="preserve">→ Chercher un objectif/une question de recherche explicitement énoncé(e), généralement en fin d'introduction.</w:t>
      </w:r>
    </w:p>
    <w:p>
      <w:pPr>
        <w:pStyle w:val="BodyText"/>
      </w:pPr>
      <w:r>
        <w:rPr>
          <w:b/>
          <w:bCs/>
        </w:rPr>
        <w:t xml:space="preserve">2. Le plan d'étude était-il adapté aux objectifs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Was the study design appropriate for the stated aim(s)?</w:t>
      </w:r>
      <w:r>
        <w:t xml:space="preserve"> </w:t>
      </w:r>
      <w:r>
        <w:t xml:space="preserve">— [Design]</w:t>
      </w:r>
      <w:r>
        <w:t xml:space="preserve"> </w:t>
      </w:r>
      <w:r>
        <w:t xml:space="preserve">→ Un devis transversal convient pour estimer une prévalence/une association à un instant T, PAS pour établir une causalité ou une temporalité.</w:t>
      </w:r>
    </w:p>
    <w:p>
      <w:pPr>
        <w:pStyle w:val="BodyText"/>
      </w:pPr>
      <w:r>
        <w:rPr>
          <w:b/>
          <w:bCs/>
        </w:rPr>
        <w:t xml:space="preserve">3. La taille de l'échantillon était-elle justifiée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Was the sample size justified?</w:t>
      </w:r>
      <w:r>
        <w:t xml:space="preserve"> </w:t>
      </w:r>
      <w:r>
        <w:t xml:space="preserve">— [Design]</w:t>
      </w:r>
      <w:r>
        <w:t xml:space="preserve"> </w:t>
      </w:r>
      <w:r>
        <w:t xml:space="preserve">→ Chercher un</w:t>
      </w:r>
      <w:r>
        <w:t xml:space="preserve"> </w:t>
      </w:r>
      <w:r>
        <w:rPr>
          <w:b/>
          <w:bCs/>
        </w:rPr>
        <w:t xml:space="preserve">calcul de puissance a priori</w:t>
      </w:r>
      <w:r>
        <w:t xml:space="preserve"> </w:t>
      </w:r>
      <w:r>
        <w:t xml:space="preserve">ou une justification de la taille. Un grand N n'est pas une justification en soi.</w:t>
      </w:r>
    </w:p>
    <w:p>
      <w:pPr>
        <w:pStyle w:val="BodyText"/>
      </w:pPr>
      <w:r>
        <w:rPr>
          <w:b/>
          <w:bCs/>
        </w:rPr>
        <w:t xml:space="preserve">4. La population cible / de référence était-elle clairement définie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Was the target/reference population clearly defined? (Is it clear who the research was about?)</w:t>
      </w:r>
      <w:r>
        <w:t xml:space="preserve"> </w:t>
      </w:r>
      <w:r>
        <w:t xml:space="preserve">— [Report]</w:t>
      </w:r>
      <w:r>
        <w:t xml:space="preserve"> </w:t>
      </w:r>
      <w:r>
        <w:t xml:space="preserve">→ Est-il clair « de qui » parle la recherche (critères, cadre) ?</w:t>
      </w:r>
    </w:p>
    <w:p>
      <w:pPr>
        <w:pStyle w:val="BodyText"/>
      </w:pPr>
      <w:r>
        <w:rPr>
          <w:b/>
          <w:bCs/>
        </w:rPr>
        <w:t xml:space="preserve">5. La base de sondage représentait-elle fidèlement la population cible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Was the sample frame taken from an appropriate population base so that it closely represented the target/reference population under investigation?</w:t>
      </w:r>
      <w:r>
        <w:t xml:space="preserve"> </w:t>
      </w:r>
      <w:r>
        <w:t xml:space="preserve">— [Design]</w:t>
      </w:r>
      <w:r>
        <w:t xml:space="preserve"> </w:t>
      </w:r>
      <w:r>
        <w:t xml:space="preserve">→ La liste/source d'où l'échantillon est tiré reflète-t-elle bien la population visée (risque de biais de couverture) ?</w:t>
      </w:r>
    </w:p>
    <w:p>
      <w:pPr>
        <w:pStyle w:val="BodyText"/>
      </w:pPr>
      <w:r>
        <w:rPr>
          <w:b/>
          <w:bCs/>
        </w:rPr>
        <w:t xml:space="preserve">6. Le processus de sélection produisait-il des participants représentatifs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Was the selection process likely to select subjects/participants that were representative of the target/reference population under investigation?</w:t>
      </w:r>
      <w:r>
        <w:t xml:space="preserve"> </w:t>
      </w:r>
      <w:r>
        <w:t xml:space="preserve">— [Biais]</w:t>
      </w:r>
      <w:r>
        <w:t xml:space="preserve"> </w:t>
      </w:r>
      <w:r>
        <w:t xml:space="preserve">→ Méthode d'échantillonnage (aléatoire ? critères ?), risque de biais de sélection.</w:t>
      </w:r>
    </w:p>
    <w:p>
      <w:pPr>
        <w:pStyle w:val="BodyText"/>
      </w:pPr>
      <w:r>
        <w:rPr>
          <w:b/>
          <w:bCs/>
        </w:rPr>
        <w:t xml:space="preserve">7. Des mesures ont-elles été prises pour traiter/catégoriser les non-répondants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measures undertaken to address and categorise non-responders?</w:t>
      </w:r>
      <w:r>
        <w:t xml:space="preserve"> </w:t>
      </w:r>
      <w:r>
        <w:t xml:space="preserve">— [Biais]</w:t>
      </w:r>
      <w:r>
        <w:t xml:space="preserve"> </w:t>
      </w:r>
      <w:r>
        <w:t xml:space="preserve">→ Les non-répondants sont-ils identifiés, comptés, comparés aux répondants ?</w:t>
      </w:r>
    </w:p>
    <w:p>
      <w:pPr>
        <w:pStyle w:val="BodyText"/>
      </w:pPr>
      <w:r>
        <w:rPr>
          <w:b/>
          <w:bCs/>
        </w:rPr>
        <w:t xml:space="preserve">8. Les variables d'exposition et de résultat mesurées étaient-elles adaptées aux objectifs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risk factor and outcome variables measured appropriate to the aims of the study?</w:t>
      </w:r>
      <w:r>
        <w:t xml:space="preserve"> </w:t>
      </w:r>
      <w:r>
        <w:t xml:space="preserve">— [Design]</w:t>
      </w:r>
      <w:r>
        <w:t xml:space="preserve"> </w:t>
      </w:r>
      <w:r>
        <w:t xml:space="preserve">→ Les variables mesurées produisent-elles des données pertinentes pour la question (validité de construit) ?</w:t>
      </w:r>
    </w:p>
    <w:p>
      <w:pPr>
        <w:pStyle w:val="BodyText"/>
      </w:pPr>
      <w:r>
        <w:rPr>
          <w:b/>
          <w:bCs/>
        </w:rPr>
        <w:t xml:space="preserve">9. Les variables ont-elles été mesurées avec des instruments éprouvés/publiés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risk factor and outcome variables measured correctly using instruments/measurements that had been trialled, piloted or published previously?</w:t>
      </w:r>
      <w:r>
        <w:t xml:space="preserve"> </w:t>
      </w:r>
      <w:r>
        <w:t xml:space="preserve">— [Biais]</w:t>
      </w:r>
      <w:r>
        <w:t xml:space="preserve"> </w:t>
      </w:r>
      <w:r>
        <w:t xml:space="preserve">→ Instruments validés/pilotés (fiabilité de mesure), sinon risque de biais d'information.</w:t>
      </w:r>
    </w:p>
    <w:p>
      <w:pPr>
        <w:pStyle w:val="BodyText"/>
      </w:pPr>
      <w:r>
        <w:rPr>
          <w:b/>
          <w:bCs/>
        </w:rPr>
        <w:t xml:space="preserve">10. Est-il clair ce qui a servi à déterminer la significativité/précision (p, IC)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Is it clear what was used to determine statistical significance and/or precision estimates? (eg, p values, CIs)</w:t>
      </w:r>
      <w:r>
        <w:t xml:space="preserve"> </w:t>
      </w:r>
      <w:r>
        <w:t xml:space="preserve">— [Report]</w:t>
      </w:r>
      <w:r>
        <w:t xml:space="preserve"> </w:t>
      </w:r>
      <w:r>
        <w:t xml:space="preserve">→ Les seuils/estimateurs (p, intervalles de confiance) sont-ils explicités ?</w:t>
      </w:r>
    </w:p>
    <w:p>
      <w:pPr>
        <w:pStyle w:val="BodyText"/>
      </w:pPr>
      <w:r>
        <w:rPr>
          <w:b/>
          <w:bCs/>
        </w:rPr>
        <w:t xml:space="preserve">11. Les méthodes (dont statistiques) étaient-elles assez décrites pour être reproduites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methods (including statistical methods) sufficiently described to enable them to be repeated?</w:t>
      </w:r>
      <w:r>
        <w:t xml:space="preserve"> </w:t>
      </w:r>
      <w:r>
        <w:t xml:space="preserve">— [Report]</w:t>
      </w:r>
      <w:r>
        <w:t xml:space="preserve"> </w:t>
      </w:r>
      <w:r>
        <w:t xml:space="preserve">→ Reproductibilité : un lecteur pourrait-il refaire l'analyse ?</w:t>
      </w:r>
    </w:p>
    <w:p>
      <w:pPr>
        <w:pStyle w:val="BodyText"/>
      </w:pPr>
      <w:r>
        <w:rPr>
          <w:b/>
          <w:bCs/>
        </w:rPr>
        <w:t xml:space="preserve">12. Les données de base étaient-elles décrites adéquatement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basic data adequately described?</w:t>
      </w:r>
      <w:r>
        <w:t xml:space="preserve"> </w:t>
      </w:r>
      <w:r>
        <w:t xml:space="preserve">— [Report]</w:t>
      </w:r>
      <w:r>
        <w:t xml:space="preserve"> </w:t>
      </w:r>
      <w:r>
        <w:t xml:space="preserve">→ Caractéristiques de l'échantillon (démographie, tableau descriptif) suffisantes.</w:t>
      </w:r>
    </w:p>
    <w:p>
      <w:pPr>
        <w:pStyle w:val="BodyText"/>
      </w:pPr>
      <w:r>
        <w:rPr>
          <w:b/>
          <w:bCs/>
        </w:rPr>
        <w:t xml:space="preserve">13. ⚠️ Le taux de réponse soulève-t-il des inquiétudes de biais de non-réponse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Does the response rate raise concerns about non-response bias?</w:t>
      </w:r>
      <w:r>
        <w:t xml:space="preserve"> </w:t>
      </w:r>
      <w:r>
        <w:t xml:space="preserve">— [Biais] —</w:t>
      </w:r>
      <w:r>
        <w:t xml:space="preserve"> </w:t>
      </w:r>
      <w:r>
        <w:rPr>
          <w:b/>
          <w:bCs/>
        </w:rPr>
        <w:t xml:space="preserve">INVERSÉ : « Oui » = défavorable.</w:t>
      </w:r>
      <w:r>
        <w:t xml:space="preserve"> </w:t>
      </w:r>
      <w:r>
        <w:t xml:space="preserve">→ Un taux de réponse faible / beaucoup d'exclusions → risque de biais. Répondre « Oui » signale un problème.</w:t>
      </w:r>
    </w:p>
    <w:p>
      <w:pPr>
        <w:pStyle w:val="BodyText"/>
      </w:pPr>
      <w:r>
        <w:rPr>
          <w:b/>
          <w:bCs/>
        </w:rPr>
        <w:t xml:space="preserve">14. Le cas échéant, l'information sur les non-répondants était-elle décrite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If appropriate, was information about non-responders described?</w:t>
      </w:r>
      <w:r>
        <w:t xml:space="preserve"> </w:t>
      </w:r>
      <w:r>
        <w:t xml:space="preserve">— [Biais]</w:t>
      </w:r>
      <w:r>
        <w:t xml:space="preserve"> </w:t>
      </w:r>
      <w:r>
        <w:t xml:space="preserve">→ Caractéristiques des non-répondants fournies (pour juger le biais).</w:t>
      </w:r>
    </w:p>
    <w:p>
      <w:pPr>
        <w:pStyle w:val="BodyText"/>
      </w:pPr>
      <w:r>
        <w:rPr>
          <w:b/>
          <w:bCs/>
        </w:rPr>
        <w:t xml:space="preserve">15. Les résultats étaient-ils cohérents en interne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results internally consistent?</w:t>
      </w:r>
      <w:r>
        <w:t xml:space="preserve"> </w:t>
      </w:r>
      <w:r>
        <w:t xml:space="preserve">— [Biais]</w:t>
      </w:r>
      <w:r>
        <w:t xml:space="preserve"> </w:t>
      </w:r>
      <w:r>
        <w:t xml:space="preserve">→ Les chiffres concordent-ils (totaux, sous-groupes, texte vs tableaux) ?</w:t>
      </w:r>
    </w:p>
    <w:p>
      <w:pPr>
        <w:pStyle w:val="BodyText"/>
      </w:pPr>
      <w:r>
        <w:rPr>
          <w:b/>
          <w:bCs/>
        </w:rPr>
        <w:t xml:space="preserve">16. Les résultats étaient-ils présentés pour toutes les analyses des méthodes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results for the analyses described in the methods, presented?</w:t>
      </w:r>
      <w:r>
        <w:t xml:space="preserve"> </w:t>
      </w:r>
      <w:r>
        <w:t xml:space="preserve">— [Report]</w:t>
      </w:r>
      <w:r>
        <w:t xml:space="preserve"> </w:t>
      </w:r>
      <w:r>
        <w:t xml:space="preserve">→ Pas d'analyse annoncée puis « disparue » (report sélectif).</w:t>
      </w:r>
    </w:p>
    <w:p>
      <w:pPr>
        <w:pStyle w:val="BodyText"/>
      </w:pPr>
      <w:r>
        <w:rPr>
          <w:b/>
          <w:bCs/>
        </w:rPr>
        <w:t xml:space="preserve">17. Les discussions/conclusions étaient-elles justifiées par les résultats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authors' discussions and conclusions justified by the results?</w:t>
      </w:r>
      <w:r>
        <w:t xml:space="preserve"> </w:t>
      </w:r>
      <w:r>
        <w:t xml:space="preserve">— [Design]</w:t>
      </w:r>
      <w:r>
        <w:t xml:space="preserve"> </w:t>
      </w:r>
      <w:r>
        <w:t xml:space="preserve">→ Les conclusions ne dépassent pas ce que les données montrent (ex. causalité à partir d'un transversal).</w:t>
      </w:r>
    </w:p>
    <w:p>
      <w:pPr>
        <w:pStyle w:val="BodyText"/>
      </w:pPr>
      <w:r>
        <w:rPr>
          <w:b/>
          <w:bCs/>
        </w:rPr>
        <w:t xml:space="preserve">18. Les limites de l'étude ont-elles été discutées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 limitations of the study discussed?</w:t>
      </w:r>
      <w:r>
        <w:t xml:space="preserve"> </w:t>
      </w:r>
      <w:r>
        <w:t xml:space="preserve">— [Report]</w:t>
      </w:r>
      <w:r>
        <w:t xml:space="preserve"> </w:t>
      </w:r>
      <w:r>
        <w:t xml:space="preserve">→ Reconnaissance honnête des limites (design, biais, généralisation).</w:t>
      </w:r>
    </w:p>
    <w:p>
      <w:pPr>
        <w:pStyle w:val="BodyText"/>
      </w:pPr>
      <w:r>
        <w:rPr>
          <w:b/>
          <w:bCs/>
        </w:rPr>
        <w:t xml:space="preserve">19. ⚠️ Existait-il des financements/conflits d'intérêts pouvant affecter l'interprétation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Were there any funding sources or conflicts of interest that may affect the authors' interpretation of the results?</w:t>
      </w:r>
      <w:r>
        <w:t xml:space="preserve"> </w:t>
      </w:r>
      <w:r>
        <w:t xml:space="preserve">— [Design] —</w:t>
      </w:r>
      <w:r>
        <w:t xml:space="preserve"> </w:t>
      </w:r>
      <w:r>
        <w:rPr>
          <w:b/>
          <w:bCs/>
        </w:rPr>
        <w:t xml:space="preserve">INVERSÉ : « Oui » = défavorable.</w:t>
      </w:r>
      <w:r>
        <w:t xml:space="preserve"> </w:t>
      </w:r>
      <w:r>
        <w:t xml:space="preserve">→ Un financement/conflit susceptible de biaiser l'interprétation → répondre « Oui » signale un risque. (« Non déclaré » ≠ « Non ».)</w:t>
      </w:r>
    </w:p>
    <w:p>
      <w:pPr>
        <w:pStyle w:val="BodyText"/>
      </w:pPr>
      <w:r>
        <w:rPr>
          <w:b/>
          <w:bCs/>
        </w:rPr>
        <w:t xml:space="preserve">20. Un avis éthique ou le consentement des participants a-t-il été obtenu ?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Was ethical approval or consent of participants attained?</w:t>
      </w:r>
      <w:r>
        <w:t xml:space="preserve"> </w:t>
      </w:r>
      <w:r>
        <w:t xml:space="preserve">— [Design]</w:t>
      </w:r>
      <w:r>
        <w:t xml:space="preserve"> </w:t>
      </w:r>
      <w:r>
        <w:t xml:space="preserve">→ Approbation d'un comité d'éthique (IRB) et/ou consentement.</w:t>
      </w:r>
    </w:p>
    <w:bookmarkEnd w:id="12"/>
    <w:bookmarkStart w:id="13" w:name="comment-lapp-applique-axis"/>
    <w:p>
      <w:pPr>
        <w:pStyle w:val="Heading2"/>
      </w:pPr>
      <w:r>
        <w:t xml:space="preserve">Comment l'app applique AXIS</w:t>
      </w:r>
    </w:p>
    <w:p>
      <w:pPr>
        <w:pStyle w:val="Compact"/>
        <w:numPr>
          <w:ilvl w:val="0"/>
          <w:numId w:val="1003"/>
        </w:numPr>
      </w:pPr>
      <w:r>
        <w:t xml:space="preserve">Le modèle reçoit</w:t>
      </w:r>
      <w:r>
        <w:t xml:space="preserve"> </w:t>
      </w:r>
      <w:r>
        <w:rPr>
          <w:b/>
          <w:bCs/>
        </w:rPr>
        <w:t xml:space="preserve">titre + texte intégral</w:t>
      </w:r>
      <w:r>
        <w:t xml:space="preserve"> </w:t>
      </w:r>
      <w:r>
        <w:t xml:space="preserve">(jusqu'à 50 000 car.) et répond en JSON :</w:t>
      </w:r>
      <w:r>
        <w:t xml:space="preserve"> </w:t>
      </w:r>
      <w:r>
        <w:t xml:space="preserve">pour chaque item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(yes/partial/no/na/unclear) +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nuancé +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Le score de fiabilité = part d'items</w:t>
      </w:r>
      <w:r>
        <w:t xml:space="preserve"> </w:t>
      </w:r>
      <w:r>
        <w:rPr>
          <w:b/>
          <w:bCs/>
        </w:rPr>
        <w:t xml:space="preserve">favorables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évaluables</w:t>
      </w:r>
      <w:r>
        <w:t xml:space="preserve"> </w:t>
      </w:r>
      <w:r>
        <w:t xml:space="preserve">(hors « non applicable »</w:t>
      </w:r>
      <w:r>
        <w:t xml:space="preserve"> </w:t>
      </w:r>
      <w:r>
        <w:t xml:space="preserve">et « indéterminé »). Items 13 et 19 inversés (un « Oui » n'est pas favorable).</w:t>
      </w:r>
    </w:p>
    <w:p>
      <w:pPr>
        <w:pStyle w:val="Compact"/>
        <w:numPr>
          <w:ilvl w:val="0"/>
          <w:numId w:val="1003"/>
        </w:numPr>
      </w:pPr>
      <w:r>
        <w:t xml:space="preserve">Garde-fou : les réponses défavorables sont marquées « ancrées » si une</w:t>
      </w:r>
      <w:r>
        <w:t xml:space="preserve"> </w:t>
      </w:r>
      <w:r>
        <w:rPr>
          <w:b/>
          <w:bCs/>
        </w:rPr>
        <w:t xml:space="preserve">citation verbatim</w:t>
      </w:r>
      <w:r>
        <w:t xml:space="preserve"> </w:t>
      </w:r>
      <w:r>
        <w:t xml:space="preserve">est retrouvée dans le texte ; sinon la réflexion du modèle reste affichée (traçabilité).</w:t>
      </w:r>
    </w:p>
    <w:bookmarkEnd w:id="13"/>
    <w:bookmarkStart w:id="16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4"/>
        </w:numPr>
      </w:pPr>
      <w:r>
        <w:t xml:space="preserve">Downes et al. 2016,</w:t>
      </w:r>
      <w:r>
        <w:t xml:space="preserve"> </w:t>
      </w:r>
      <w:r>
        <w:rPr>
          <w:i/>
          <w:iCs/>
        </w:rPr>
        <w:t xml:space="preserve">BMJ Open</w:t>
      </w:r>
      <w:r>
        <w:t xml:space="preserve"> 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https://pmc.ncbi.nlm.nih.gov/articles/PMC5168618/</w:t>
        </w:r>
      </w:hyperlink>
      <w:r>
        <w:t xml:space="preserve"> </w:t>
      </w:r>
      <w:r>
        <w:t xml:space="preserve">· PubMed</w:t>
      </w:r>
      <w:r>
        <w:t xml:space="preserve"> </w:t>
      </w:r>
      <w:hyperlink r:id="rId14">
        <w:r>
          <w:rPr>
            <w:rStyle w:val="Hyperlink"/>
          </w:rPr>
          <w:t xml:space="preserve">https://pubmed.ncbi.nlm.nih.gov/27932337/</w:t>
        </w:r>
      </w:hyperlink>
    </w:p>
    <w:p>
      <w:pPr>
        <w:pStyle w:val="Compact"/>
        <w:numPr>
          <w:ilvl w:val="0"/>
          <w:numId w:val="1004"/>
        </w:numPr>
      </w:pPr>
      <w:r>
        <w:t xml:space="preserve">Page auteurs (CEVM, Univ. Nottingham) :</w:t>
      </w:r>
      <w:r>
        <w:t xml:space="preserve"> </w:t>
      </w:r>
      <w:hyperlink r:id="rId15">
        <w:r>
          <w:rPr>
            <w:rStyle w:val="Hyperlink"/>
          </w:rPr>
          <w:t xml:space="preserve">https://www.nottingham.ac.uk/cevm/evidence-synthesis/assessing-quality/appraisal-of-cross-sectional-studies.aspx</w:t>
        </w:r>
      </w:hyperlink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mc.ncbi.nlm.nih.gov/articles/PMC5168618/" TargetMode="External" /><Relationship Type="http://schemas.openxmlformats.org/officeDocument/2006/relationships/hyperlink" Id="rId14" Target="https://pubmed.ncbi.nlm.nih.gov/27932337/" TargetMode="External" /><Relationship Type="http://schemas.openxmlformats.org/officeDocument/2006/relationships/hyperlink" Id="rId15" Target="https://www.nottingham.ac.uk/cevm/evidence-synthesis/assessing-quality/appraisal-of-cross-sectional-studies.asp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mc.ncbi.nlm.nih.gov/articles/PMC5168618/" TargetMode="External" /><Relationship Type="http://schemas.openxmlformats.org/officeDocument/2006/relationships/hyperlink" Id="rId14" Target="https://pubmed.ncbi.nlm.nih.gov/27932337/" TargetMode="External" /><Relationship Type="http://schemas.openxmlformats.org/officeDocument/2006/relationships/hyperlink" Id="rId15" Target="https://www.nottingham.ac.uk/cevm/evidence-synthesis/assessing-quality/appraisal-of-cross-sectional-studies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2026-07-09T13:03:32Z</dcterms:created>
  <dcterms:modified xsi:type="dcterms:W3CDTF">2026-07-09T13:03:32Z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