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1C6" w:rsidRDefault="00726B7F">
      <w:pPr>
        <w:rPr>
          <w:rFonts w:ascii="Arial" w:hAnsi="Arial" w:cs="Arial"/>
          <w:b/>
          <w:sz w:val="32"/>
          <w:szCs w:val="32"/>
        </w:rPr>
      </w:pPr>
      <w:r w:rsidRPr="00726B7F">
        <w:rPr>
          <w:rFonts w:ascii="Arial" w:hAnsi="Arial" w:cs="Arial"/>
          <w:b/>
          <w:sz w:val="32"/>
          <w:szCs w:val="32"/>
        </w:rPr>
        <w:t>Diversification Updates</w:t>
      </w:r>
    </w:p>
    <w:p w:rsidR="00726B7F" w:rsidRDefault="00726B7F">
      <w:pPr>
        <w:rPr>
          <w:rFonts w:ascii="Arial" w:hAnsi="Arial" w:cs="Arial"/>
          <w:b/>
          <w:sz w:val="32"/>
          <w:szCs w:val="32"/>
        </w:rPr>
      </w:pPr>
    </w:p>
    <w:p w:rsidR="00726B7F" w:rsidRDefault="00726B7F">
      <w:pPr>
        <w:rPr>
          <w:rFonts w:ascii="Arial" w:hAnsi="Arial" w:cs="Arial"/>
          <w:b/>
          <w:sz w:val="20"/>
          <w:szCs w:val="20"/>
        </w:rPr>
      </w:pPr>
      <w:r w:rsidRPr="00726B7F">
        <w:rPr>
          <w:rFonts w:ascii="Arial" w:hAnsi="Arial" w:cs="Arial"/>
          <w:b/>
          <w:sz w:val="20"/>
          <w:szCs w:val="20"/>
        </w:rPr>
        <w:t>Employment vs. GDP Data</w:t>
      </w:r>
    </w:p>
    <w:p w:rsidR="00726B7F" w:rsidRDefault="00726B7F">
      <w:pPr>
        <w:rPr>
          <w:rFonts w:ascii="Arial" w:hAnsi="Arial" w:cs="Arial"/>
          <w:sz w:val="20"/>
          <w:szCs w:val="20"/>
        </w:rPr>
      </w:pPr>
      <w:r>
        <w:rPr>
          <w:rFonts w:ascii="Arial" w:hAnsi="Arial" w:cs="Arial"/>
          <w:sz w:val="20"/>
          <w:szCs w:val="20"/>
        </w:rPr>
        <w:t xml:space="preserve">The two indices of economic diversity from the initial report (a GDP distribution index and a total GDP growth volatility index) were re-computed using employment by industry. For comparability the employment industry categories are identical to those used in the GDP data. </w:t>
      </w:r>
    </w:p>
    <w:p w:rsidR="00390500" w:rsidRDefault="00726B7F">
      <w:pPr>
        <w:rPr>
          <w:rFonts w:ascii="Arial" w:hAnsi="Arial" w:cs="Arial"/>
          <w:sz w:val="20"/>
          <w:szCs w:val="20"/>
        </w:rPr>
      </w:pPr>
      <w:r>
        <w:rPr>
          <w:rFonts w:ascii="Arial" w:hAnsi="Arial" w:cs="Arial"/>
          <w:sz w:val="20"/>
          <w:szCs w:val="20"/>
        </w:rPr>
        <w:t>The switch to employmen</w:t>
      </w:r>
      <w:r w:rsidR="00E84591">
        <w:rPr>
          <w:rFonts w:ascii="Arial" w:hAnsi="Arial" w:cs="Arial"/>
          <w:sz w:val="20"/>
          <w:szCs w:val="20"/>
        </w:rPr>
        <w:t>t data significantly changed several major cities’</w:t>
      </w:r>
      <w:r>
        <w:rPr>
          <w:rFonts w:ascii="Arial" w:hAnsi="Arial" w:cs="Arial"/>
          <w:sz w:val="20"/>
          <w:szCs w:val="20"/>
        </w:rPr>
        <w:t xml:space="preserve"> diversity rankings in terms of both distribution and total growth volatility.</w:t>
      </w:r>
      <w:r w:rsidR="00390500">
        <w:rPr>
          <w:rFonts w:ascii="Arial" w:hAnsi="Arial" w:cs="Arial"/>
          <w:sz w:val="20"/>
          <w:szCs w:val="20"/>
        </w:rPr>
        <w:t xml:space="preserve"> The following table summarizes the changes for major</w:t>
      </w:r>
      <w:r w:rsidR="00FA5FE5">
        <w:rPr>
          <w:rFonts w:ascii="Arial" w:hAnsi="Arial" w:cs="Arial"/>
          <w:sz w:val="20"/>
          <w:szCs w:val="20"/>
        </w:rPr>
        <w:t xml:space="preserve"> Canadian</w:t>
      </w:r>
      <w:r w:rsidR="00390500">
        <w:rPr>
          <w:rFonts w:ascii="Arial" w:hAnsi="Arial" w:cs="Arial"/>
          <w:sz w:val="20"/>
          <w:szCs w:val="20"/>
        </w:rPr>
        <w:t xml:space="preserve"> cities:</w:t>
      </w:r>
    </w:p>
    <w:tbl>
      <w:tblPr>
        <w:tblStyle w:val="TableGrid"/>
        <w:tblW w:w="0" w:type="auto"/>
        <w:jc w:val="center"/>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2080"/>
        <w:gridCol w:w="650"/>
        <w:gridCol w:w="1415"/>
        <w:gridCol w:w="960"/>
        <w:gridCol w:w="650"/>
        <w:gridCol w:w="1475"/>
        <w:gridCol w:w="917"/>
      </w:tblGrid>
      <w:tr w:rsidR="00FA5FE5" w:rsidRPr="00E84591" w:rsidTr="00FA5FE5">
        <w:trPr>
          <w:trHeight w:val="300"/>
          <w:jc w:val="center"/>
        </w:trPr>
        <w:tc>
          <w:tcPr>
            <w:tcW w:w="8147" w:type="dxa"/>
            <w:gridSpan w:val="7"/>
            <w:tcBorders>
              <w:top w:val="nil"/>
              <w:bottom w:val="single" w:sz="4" w:space="0" w:color="auto"/>
            </w:tcBorders>
            <w:noWrap/>
          </w:tcPr>
          <w:p w:rsidR="00FA5FE5" w:rsidRPr="00FA5FE5" w:rsidRDefault="00FA5FE5" w:rsidP="00FA5FE5">
            <w:pPr>
              <w:rPr>
                <w:rFonts w:ascii="Arial" w:hAnsi="Arial" w:cs="Arial"/>
                <w:b/>
                <w:sz w:val="20"/>
                <w:szCs w:val="20"/>
              </w:rPr>
            </w:pPr>
            <w:r w:rsidRPr="00FA5FE5">
              <w:rPr>
                <w:rFonts w:ascii="Arial" w:hAnsi="Arial" w:cs="Arial"/>
                <w:b/>
                <w:sz w:val="20"/>
                <w:szCs w:val="20"/>
              </w:rPr>
              <w:t>Table 1. City Diversity Rankings (Higher Rank = More Diverse)</w:t>
            </w:r>
          </w:p>
        </w:tc>
      </w:tr>
      <w:tr w:rsidR="00FA5FE5" w:rsidRPr="00E84591" w:rsidTr="00FA5FE5">
        <w:trPr>
          <w:trHeight w:val="300"/>
          <w:jc w:val="center"/>
        </w:trPr>
        <w:tc>
          <w:tcPr>
            <w:tcW w:w="2080" w:type="dxa"/>
            <w:tcBorders>
              <w:top w:val="single" w:sz="4" w:space="0" w:color="auto"/>
              <w:bottom w:val="nil"/>
              <w:right w:val="nil"/>
            </w:tcBorders>
            <w:noWrap/>
            <w:hideMark/>
          </w:tcPr>
          <w:p w:rsidR="00FA5FE5" w:rsidRPr="00E84591" w:rsidRDefault="00FA5FE5">
            <w:pPr>
              <w:rPr>
                <w:rFonts w:ascii="Arial" w:hAnsi="Arial" w:cs="Arial"/>
                <w:sz w:val="20"/>
                <w:szCs w:val="20"/>
              </w:rPr>
            </w:pPr>
          </w:p>
        </w:tc>
        <w:tc>
          <w:tcPr>
            <w:tcW w:w="3025" w:type="dxa"/>
            <w:gridSpan w:val="3"/>
            <w:tcBorders>
              <w:top w:val="single" w:sz="4" w:space="0" w:color="auto"/>
              <w:left w:val="nil"/>
              <w:bottom w:val="single" w:sz="4" w:space="0" w:color="auto"/>
              <w:right w:val="nil"/>
            </w:tcBorders>
            <w:noWrap/>
            <w:hideMark/>
          </w:tcPr>
          <w:p w:rsidR="00FA5FE5" w:rsidRPr="00E84591" w:rsidRDefault="00FA5FE5" w:rsidP="00FA5FE5">
            <w:pPr>
              <w:jc w:val="center"/>
              <w:rPr>
                <w:rFonts w:ascii="Arial" w:hAnsi="Arial" w:cs="Arial"/>
                <w:sz w:val="20"/>
                <w:szCs w:val="20"/>
              </w:rPr>
            </w:pPr>
            <w:r w:rsidRPr="00E84591">
              <w:rPr>
                <w:rFonts w:ascii="Arial" w:hAnsi="Arial" w:cs="Arial"/>
                <w:sz w:val="20"/>
                <w:szCs w:val="20"/>
              </w:rPr>
              <w:t>Distribution Index</w:t>
            </w:r>
          </w:p>
        </w:tc>
        <w:tc>
          <w:tcPr>
            <w:tcW w:w="3042" w:type="dxa"/>
            <w:gridSpan w:val="3"/>
            <w:tcBorders>
              <w:top w:val="single" w:sz="4" w:space="0" w:color="auto"/>
              <w:left w:val="nil"/>
              <w:bottom w:val="single" w:sz="4" w:space="0" w:color="auto"/>
            </w:tcBorders>
            <w:noWrap/>
            <w:hideMark/>
          </w:tcPr>
          <w:p w:rsidR="00FA5FE5" w:rsidRPr="00E84591" w:rsidRDefault="00FA5FE5" w:rsidP="00FA5FE5">
            <w:pPr>
              <w:jc w:val="center"/>
              <w:rPr>
                <w:rFonts w:ascii="Arial" w:hAnsi="Arial" w:cs="Arial"/>
                <w:sz w:val="20"/>
                <w:szCs w:val="20"/>
              </w:rPr>
            </w:pPr>
            <w:r w:rsidRPr="00E84591">
              <w:rPr>
                <w:rFonts w:ascii="Arial" w:hAnsi="Arial" w:cs="Arial"/>
                <w:sz w:val="20"/>
                <w:szCs w:val="20"/>
              </w:rPr>
              <w:t>Total Growth Volatility Index</w:t>
            </w:r>
          </w:p>
        </w:tc>
      </w:tr>
      <w:tr w:rsidR="00FA5FE5" w:rsidRPr="00E84591" w:rsidTr="00FA5FE5">
        <w:trPr>
          <w:trHeight w:val="300"/>
          <w:jc w:val="center"/>
        </w:trPr>
        <w:tc>
          <w:tcPr>
            <w:tcW w:w="2080" w:type="dxa"/>
            <w:tcBorders>
              <w:top w:val="nil"/>
              <w:bottom w:val="single" w:sz="4" w:space="0" w:color="auto"/>
            </w:tcBorders>
            <w:noWrap/>
            <w:hideMark/>
          </w:tcPr>
          <w:p w:rsidR="00E84591" w:rsidRPr="00E84591" w:rsidRDefault="00E84591">
            <w:pPr>
              <w:rPr>
                <w:rFonts w:ascii="Arial" w:hAnsi="Arial" w:cs="Arial"/>
                <w:sz w:val="20"/>
                <w:szCs w:val="20"/>
              </w:rPr>
            </w:pP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GDP</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Employment</w:t>
            </w:r>
          </w:p>
        </w:tc>
        <w:tc>
          <w:tcPr>
            <w:tcW w:w="96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Change</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 xml:space="preserve">GDP </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Employment</w:t>
            </w:r>
          </w:p>
        </w:tc>
        <w:tc>
          <w:tcPr>
            <w:tcW w:w="917" w:type="dxa"/>
            <w:tcBorders>
              <w:top w:val="single" w:sz="4" w:space="0" w:color="auto"/>
              <w:left w:val="nil"/>
              <w:bottom w:val="single" w:sz="4" w:space="0" w:color="auto"/>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Change</w:t>
            </w:r>
          </w:p>
        </w:tc>
      </w:tr>
      <w:tr w:rsidR="00E84591" w:rsidRPr="00E84591"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Calgary</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13</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00B050"/>
                <w:sz w:val="20"/>
                <w:szCs w:val="20"/>
              </w:rPr>
              <w:t>12</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11</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8</w:t>
            </w:r>
          </w:p>
        </w:tc>
        <w:tc>
          <w:tcPr>
            <w:tcW w:w="917" w:type="dxa"/>
            <w:tcBorders>
              <w:top w:val="single" w:sz="4" w:space="0" w:color="auto"/>
              <w:left w:val="nil"/>
              <w:bottom w:val="single" w:sz="4" w:space="0" w:color="auto"/>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00B050"/>
                <w:sz w:val="20"/>
                <w:szCs w:val="20"/>
              </w:rPr>
              <w:t>3</w:t>
            </w:r>
          </w:p>
        </w:tc>
      </w:tr>
      <w:tr w:rsidR="00E84591" w:rsidRPr="00E84591"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Edmonton</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2</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color w:val="FF0000"/>
                <w:sz w:val="20"/>
                <w:szCs w:val="20"/>
              </w:rPr>
            </w:pPr>
            <w:r w:rsidRPr="00FA5FE5">
              <w:rPr>
                <w:rFonts w:ascii="Arial" w:hAnsi="Arial" w:cs="Arial"/>
                <w:b/>
                <w:color w:val="FF0000"/>
                <w:sz w:val="20"/>
                <w:szCs w:val="20"/>
              </w:rPr>
              <w:t>-1</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12</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5</w:t>
            </w:r>
          </w:p>
        </w:tc>
        <w:tc>
          <w:tcPr>
            <w:tcW w:w="917" w:type="dxa"/>
            <w:tcBorders>
              <w:top w:val="single" w:sz="4" w:space="0" w:color="auto"/>
              <w:left w:val="nil"/>
              <w:bottom w:val="single" w:sz="4" w:space="0" w:color="auto"/>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00B050"/>
                <w:sz w:val="20"/>
                <w:szCs w:val="20"/>
              </w:rPr>
              <w:t>7</w:t>
            </w:r>
          </w:p>
        </w:tc>
      </w:tr>
      <w:tr w:rsidR="00E84591" w:rsidRPr="00E84591"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Halifax</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6</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9</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color w:val="FF0000"/>
                <w:sz w:val="20"/>
                <w:szCs w:val="20"/>
              </w:rPr>
            </w:pPr>
            <w:r w:rsidRPr="00FA5FE5">
              <w:rPr>
                <w:rFonts w:ascii="Arial" w:hAnsi="Arial" w:cs="Arial"/>
                <w:b/>
                <w:color w:val="FF0000"/>
                <w:sz w:val="20"/>
                <w:szCs w:val="20"/>
              </w:rPr>
              <w:t>-3</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4</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6</w:t>
            </w:r>
          </w:p>
        </w:tc>
        <w:tc>
          <w:tcPr>
            <w:tcW w:w="917" w:type="dxa"/>
            <w:tcBorders>
              <w:top w:val="single" w:sz="4" w:space="0" w:color="auto"/>
              <w:left w:val="nil"/>
              <w:bottom w:val="single" w:sz="4" w:space="0" w:color="auto"/>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FF0000"/>
                <w:sz w:val="20"/>
                <w:szCs w:val="20"/>
              </w:rPr>
              <w:t>-2</w:t>
            </w:r>
          </w:p>
        </w:tc>
      </w:tr>
      <w:tr w:rsidR="00E84591" w:rsidRPr="00E84591"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Hamilton</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8</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7</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00B050"/>
                <w:sz w:val="20"/>
                <w:szCs w:val="20"/>
              </w:rPr>
              <w:t>1</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8</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12</w:t>
            </w:r>
          </w:p>
        </w:tc>
        <w:tc>
          <w:tcPr>
            <w:tcW w:w="917" w:type="dxa"/>
            <w:tcBorders>
              <w:top w:val="single" w:sz="4" w:space="0" w:color="auto"/>
              <w:left w:val="nil"/>
              <w:bottom w:val="single" w:sz="4" w:space="0" w:color="auto"/>
            </w:tcBorders>
            <w:noWrap/>
            <w:hideMark/>
          </w:tcPr>
          <w:p w:rsidR="00E84591" w:rsidRPr="00E84591" w:rsidRDefault="00E84591" w:rsidP="00FA5FE5">
            <w:pPr>
              <w:jc w:val="right"/>
              <w:rPr>
                <w:rFonts w:ascii="Arial" w:hAnsi="Arial" w:cs="Arial"/>
                <w:sz w:val="20"/>
                <w:szCs w:val="20"/>
              </w:rPr>
            </w:pPr>
            <w:r w:rsidRPr="00FA5FE5">
              <w:rPr>
                <w:rFonts w:ascii="Arial" w:hAnsi="Arial" w:cs="Arial"/>
                <w:color w:val="FF0000"/>
                <w:sz w:val="20"/>
                <w:szCs w:val="20"/>
              </w:rPr>
              <w:t>-</w:t>
            </w:r>
            <w:r w:rsidRPr="00FA5FE5">
              <w:rPr>
                <w:rFonts w:ascii="Arial" w:hAnsi="Arial" w:cs="Arial"/>
                <w:b/>
                <w:color w:val="FF0000"/>
                <w:sz w:val="20"/>
                <w:szCs w:val="20"/>
              </w:rPr>
              <w:t>4</w:t>
            </w:r>
          </w:p>
        </w:tc>
      </w:tr>
      <w:tr w:rsidR="00E84591" w:rsidRPr="00E84591"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Montreal</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4</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8</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color w:val="FF0000"/>
                <w:sz w:val="20"/>
                <w:szCs w:val="20"/>
              </w:rPr>
            </w:pPr>
            <w:r w:rsidRPr="00FA5FE5">
              <w:rPr>
                <w:rFonts w:ascii="Arial" w:hAnsi="Arial" w:cs="Arial"/>
                <w:b/>
                <w:color w:val="FF0000"/>
                <w:sz w:val="20"/>
                <w:szCs w:val="20"/>
              </w:rPr>
              <w:t>-4</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5</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3</w:t>
            </w:r>
          </w:p>
        </w:tc>
        <w:tc>
          <w:tcPr>
            <w:tcW w:w="917" w:type="dxa"/>
            <w:tcBorders>
              <w:top w:val="single" w:sz="4" w:space="0" w:color="auto"/>
              <w:left w:val="nil"/>
              <w:bottom w:val="single" w:sz="4" w:space="0" w:color="auto"/>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00B050"/>
                <w:sz w:val="20"/>
                <w:szCs w:val="20"/>
              </w:rPr>
              <w:t>2</w:t>
            </w:r>
          </w:p>
        </w:tc>
      </w:tr>
      <w:tr w:rsidR="00E84591" w:rsidRPr="00E84591"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Ottawa and Gatineau</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12</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13</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color w:val="FF0000"/>
                <w:sz w:val="20"/>
                <w:szCs w:val="20"/>
              </w:rPr>
            </w:pPr>
            <w:r w:rsidRPr="00FA5FE5">
              <w:rPr>
                <w:rFonts w:ascii="Arial" w:hAnsi="Arial" w:cs="Arial"/>
                <w:b/>
                <w:color w:val="FF0000"/>
                <w:sz w:val="20"/>
                <w:szCs w:val="20"/>
              </w:rPr>
              <w:t>-1</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7</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9</w:t>
            </w:r>
          </w:p>
        </w:tc>
        <w:tc>
          <w:tcPr>
            <w:tcW w:w="917" w:type="dxa"/>
            <w:tcBorders>
              <w:top w:val="single" w:sz="4" w:space="0" w:color="auto"/>
              <w:left w:val="nil"/>
              <w:bottom w:val="single" w:sz="4" w:space="0" w:color="auto"/>
            </w:tcBorders>
            <w:noWrap/>
            <w:hideMark/>
          </w:tcPr>
          <w:p w:rsidR="00E84591" w:rsidRPr="00FA5FE5" w:rsidRDefault="00E84591" w:rsidP="00FA5FE5">
            <w:pPr>
              <w:jc w:val="right"/>
              <w:rPr>
                <w:rFonts w:ascii="Arial" w:hAnsi="Arial" w:cs="Arial"/>
                <w:b/>
                <w:color w:val="FF0000"/>
                <w:sz w:val="20"/>
                <w:szCs w:val="20"/>
              </w:rPr>
            </w:pPr>
            <w:r w:rsidRPr="00FA5FE5">
              <w:rPr>
                <w:rFonts w:ascii="Arial" w:hAnsi="Arial" w:cs="Arial"/>
                <w:b/>
                <w:color w:val="FF0000"/>
                <w:sz w:val="20"/>
                <w:szCs w:val="20"/>
              </w:rPr>
              <w:t>-2</w:t>
            </w:r>
          </w:p>
        </w:tc>
      </w:tr>
      <w:tr w:rsidR="00E84591" w:rsidRPr="00E84591"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Quebec City</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9</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10</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color w:val="FF0000"/>
                <w:sz w:val="20"/>
                <w:szCs w:val="20"/>
              </w:rPr>
            </w:pPr>
            <w:r w:rsidRPr="00FA5FE5">
              <w:rPr>
                <w:rFonts w:ascii="Arial" w:hAnsi="Arial" w:cs="Arial"/>
                <w:b/>
                <w:color w:val="FF0000"/>
                <w:sz w:val="20"/>
                <w:szCs w:val="20"/>
              </w:rPr>
              <w:t>-1</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10</w:t>
            </w:r>
          </w:p>
        </w:tc>
        <w:tc>
          <w:tcPr>
            <w:tcW w:w="917" w:type="dxa"/>
            <w:tcBorders>
              <w:top w:val="single" w:sz="4" w:space="0" w:color="auto"/>
              <w:left w:val="nil"/>
              <w:bottom w:val="single" w:sz="4" w:space="0" w:color="auto"/>
            </w:tcBorders>
            <w:noWrap/>
            <w:hideMark/>
          </w:tcPr>
          <w:p w:rsidR="00E84591" w:rsidRPr="00FA5FE5" w:rsidRDefault="00E84591" w:rsidP="00FA5FE5">
            <w:pPr>
              <w:jc w:val="right"/>
              <w:rPr>
                <w:rFonts w:ascii="Arial" w:hAnsi="Arial" w:cs="Arial"/>
                <w:b/>
                <w:color w:val="FF0000"/>
                <w:sz w:val="20"/>
                <w:szCs w:val="20"/>
              </w:rPr>
            </w:pPr>
            <w:r w:rsidRPr="00FA5FE5">
              <w:rPr>
                <w:rFonts w:ascii="Arial" w:hAnsi="Arial" w:cs="Arial"/>
                <w:b/>
                <w:color w:val="FF0000"/>
                <w:sz w:val="20"/>
                <w:szCs w:val="20"/>
              </w:rPr>
              <w:t>-9</w:t>
            </w:r>
          </w:p>
        </w:tc>
      </w:tr>
      <w:tr w:rsidR="00E84591" w:rsidRPr="00E84591"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Regina</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2</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3</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color w:val="FF0000"/>
                <w:sz w:val="20"/>
                <w:szCs w:val="20"/>
              </w:rPr>
            </w:pPr>
            <w:r w:rsidRPr="00FA5FE5">
              <w:rPr>
                <w:rFonts w:ascii="Arial" w:hAnsi="Arial" w:cs="Arial"/>
                <w:b/>
                <w:color w:val="FF0000"/>
                <w:sz w:val="20"/>
                <w:szCs w:val="20"/>
              </w:rPr>
              <w:t>-1</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10</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7</w:t>
            </w:r>
          </w:p>
        </w:tc>
        <w:tc>
          <w:tcPr>
            <w:tcW w:w="917" w:type="dxa"/>
            <w:tcBorders>
              <w:top w:val="single" w:sz="4" w:space="0" w:color="auto"/>
              <w:left w:val="nil"/>
              <w:bottom w:val="single" w:sz="4" w:space="0" w:color="auto"/>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00B050"/>
                <w:sz w:val="20"/>
                <w:szCs w:val="20"/>
              </w:rPr>
              <w:t>3</w:t>
            </w:r>
          </w:p>
        </w:tc>
      </w:tr>
      <w:tr w:rsidR="00FA5FE5" w:rsidRPr="00FA5FE5"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Saskatoon</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5</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6</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color w:val="FF0000"/>
                <w:sz w:val="20"/>
                <w:szCs w:val="20"/>
              </w:rPr>
            </w:pPr>
            <w:r w:rsidRPr="00FA5FE5">
              <w:rPr>
                <w:rFonts w:ascii="Arial" w:hAnsi="Arial" w:cs="Arial"/>
                <w:b/>
                <w:color w:val="FF0000"/>
                <w:sz w:val="20"/>
                <w:szCs w:val="20"/>
              </w:rPr>
              <w:t>-1</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13</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11</w:t>
            </w:r>
          </w:p>
        </w:tc>
        <w:tc>
          <w:tcPr>
            <w:tcW w:w="917" w:type="dxa"/>
            <w:tcBorders>
              <w:top w:val="single" w:sz="4" w:space="0" w:color="auto"/>
              <w:left w:val="nil"/>
              <w:bottom w:val="single" w:sz="4" w:space="0" w:color="auto"/>
            </w:tcBorders>
            <w:noWrap/>
            <w:hideMark/>
          </w:tcPr>
          <w:p w:rsidR="00E84591" w:rsidRPr="00FA5FE5" w:rsidRDefault="00E84591" w:rsidP="00FA5FE5">
            <w:pPr>
              <w:jc w:val="right"/>
              <w:rPr>
                <w:rFonts w:ascii="Arial" w:hAnsi="Arial" w:cs="Arial"/>
                <w:b/>
                <w:color w:val="00B050"/>
                <w:sz w:val="20"/>
                <w:szCs w:val="20"/>
              </w:rPr>
            </w:pPr>
            <w:r w:rsidRPr="00FA5FE5">
              <w:rPr>
                <w:rFonts w:ascii="Arial" w:hAnsi="Arial" w:cs="Arial"/>
                <w:b/>
                <w:color w:val="00B050"/>
                <w:sz w:val="20"/>
                <w:szCs w:val="20"/>
              </w:rPr>
              <w:t>2</w:t>
            </w:r>
          </w:p>
        </w:tc>
      </w:tr>
      <w:tr w:rsidR="00E84591" w:rsidRPr="00E84591"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Toronto</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11</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5</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00B050"/>
                <w:sz w:val="20"/>
                <w:szCs w:val="20"/>
              </w:rPr>
              <w:t>6</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9</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4</w:t>
            </w:r>
          </w:p>
        </w:tc>
        <w:tc>
          <w:tcPr>
            <w:tcW w:w="917" w:type="dxa"/>
            <w:tcBorders>
              <w:top w:val="single" w:sz="4" w:space="0" w:color="auto"/>
              <w:left w:val="nil"/>
              <w:bottom w:val="single" w:sz="4" w:space="0" w:color="auto"/>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00B050"/>
                <w:sz w:val="20"/>
                <w:szCs w:val="20"/>
              </w:rPr>
              <w:t>5</w:t>
            </w:r>
          </w:p>
        </w:tc>
      </w:tr>
      <w:tr w:rsidR="00E84591" w:rsidRPr="00E84591"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Vancouver</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7</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4</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00B050"/>
                <w:sz w:val="20"/>
                <w:szCs w:val="20"/>
              </w:rPr>
              <w:t>3</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2</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w:t>
            </w:r>
          </w:p>
        </w:tc>
        <w:tc>
          <w:tcPr>
            <w:tcW w:w="917" w:type="dxa"/>
            <w:tcBorders>
              <w:top w:val="single" w:sz="4" w:space="0" w:color="auto"/>
              <w:left w:val="nil"/>
              <w:bottom w:val="single" w:sz="4" w:space="0" w:color="auto"/>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00B050"/>
                <w:sz w:val="20"/>
                <w:szCs w:val="20"/>
              </w:rPr>
              <w:t>1</w:t>
            </w:r>
          </w:p>
        </w:tc>
      </w:tr>
      <w:tr w:rsidR="00E84591" w:rsidRPr="00E84591" w:rsidTr="00FA5FE5">
        <w:trPr>
          <w:trHeight w:val="300"/>
          <w:jc w:val="center"/>
        </w:trPr>
        <w:tc>
          <w:tcPr>
            <w:tcW w:w="2080" w:type="dxa"/>
            <w:tcBorders>
              <w:top w:val="single" w:sz="4" w:space="0" w:color="auto"/>
              <w:bottom w:val="single" w:sz="4" w:space="0" w:color="auto"/>
            </w:tcBorders>
            <w:noWrap/>
            <w:hideMark/>
          </w:tcPr>
          <w:p w:rsidR="00E84591" w:rsidRPr="00E84591" w:rsidRDefault="00E84591">
            <w:pPr>
              <w:rPr>
                <w:rFonts w:ascii="Arial" w:hAnsi="Arial" w:cs="Arial"/>
                <w:sz w:val="20"/>
                <w:szCs w:val="20"/>
              </w:rPr>
            </w:pPr>
            <w:r w:rsidRPr="00E84591">
              <w:rPr>
                <w:rFonts w:ascii="Arial" w:hAnsi="Arial" w:cs="Arial"/>
                <w:sz w:val="20"/>
                <w:szCs w:val="20"/>
              </w:rPr>
              <w:t>Victoria</w:t>
            </w:r>
          </w:p>
        </w:tc>
        <w:tc>
          <w:tcPr>
            <w:tcW w:w="650" w:type="dxa"/>
            <w:tcBorders>
              <w:top w:val="single" w:sz="4" w:space="0" w:color="auto"/>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10</w:t>
            </w:r>
          </w:p>
        </w:tc>
        <w:tc>
          <w:tcPr>
            <w:tcW w:w="141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12</w:t>
            </w:r>
          </w:p>
        </w:tc>
        <w:tc>
          <w:tcPr>
            <w:tcW w:w="960" w:type="dxa"/>
            <w:tcBorders>
              <w:top w:val="single" w:sz="4" w:space="0" w:color="auto"/>
              <w:left w:val="nil"/>
              <w:bottom w:val="single" w:sz="4" w:space="0" w:color="auto"/>
              <w:right w:val="nil"/>
            </w:tcBorders>
            <w:noWrap/>
            <w:hideMark/>
          </w:tcPr>
          <w:p w:rsidR="00E84591" w:rsidRPr="00FA5FE5" w:rsidRDefault="00E84591" w:rsidP="00FA5FE5">
            <w:pPr>
              <w:jc w:val="right"/>
              <w:rPr>
                <w:rFonts w:ascii="Arial" w:hAnsi="Arial" w:cs="Arial"/>
                <w:b/>
                <w:color w:val="FF0000"/>
                <w:sz w:val="20"/>
                <w:szCs w:val="20"/>
              </w:rPr>
            </w:pPr>
            <w:r w:rsidRPr="00FA5FE5">
              <w:rPr>
                <w:rFonts w:ascii="Arial" w:hAnsi="Arial" w:cs="Arial"/>
                <w:b/>
                <w:color w:val="FF0000"/>
                <w:sz w:val="20"/>
                <w:szCs w:val="20"/>
              </w:rPr>
              <w:t>-2</w:t>
            </w:r>
          </w:p>
        </w:tc>
        <w:tc>
          <w:tcPr>
            <w:tcW w:w="650"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3</w:t>
            </w:r>
          </w:p>
        </w:tc>
        <w:tc>
          <w:tcPr>
            <w:tcW w:w="1475" w:type="dxa"/>
            <w:tcBorders>
              <w:top w:val="single" w:sz="4" w:space="0" w:color="auto"/>
              <w:left w:val="nil"/>
              <w:bottom w:val="single" w:sz="4" w:space="0" w:color="auto"/>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13</w:t>
            </w:r>
          </w:p>
        </w:tc>
        <w:tc>
          <w:tcPr>
            <w:tcW w:w="917" w:type="dxa"/>
            <w:tcBorders>
              <w:top w:val="single" w:sz="4" w:space="0" w:color="auto"/>
              <w:left w:val="nil"/>
              <w:bottom w:val="single" w:sz="4" w:space="0" w:color="auto"/>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FF0000"/>
                <w:sz w:val="20"/>
                <w:szCs w:val="20"/>
              </w:rPr>
              <w:t>-10</w:t>
            </w:r>
          </w:p>
        </w:tc>
      </w:tr>
      <w:tr w:rsidR="00FA5FE5" w:rsidRPr="00E84591" w:rsidTr="00FA5FE5">
        <w:trPr>
          <w:trHeight w:val="300"/>
          <w:jc w:val="center"/>
        </w:trPr>
        <w:tc>
          <w:tcPr>
            <w:tcW w:w="2080" w:type="dxa"/>
            <w:tcBorders>
              <w:top w:val="single" w:sz="4" w:space="0" w:color="auto"/>
              <w:bottom w:val="nil"/>
            </w:tcBorders>
            <w:noWrap/>
            <w:hideMark/>
          </w:tcPr>
          <w:p w:rsidR="00E84591" w:rsidRPr="00E84591" w:rsidRDefault="00E84591">
            <w:pPr>
              <w:rPr>
                <w:rFonts w:ascii="Arial" w:hAnsi="Arial" w:cs="Arial"/>
                <w:sz w:val="20"/>
                <w:szCs w:val="20"/>
              </w:rPr>
            </w:pPr>
            <w:r w:rsidRPr="00E84591">
              <w:rPr>
                <w:rFonts w:ascii="Arial" w:hAnsi="Arial" w:cs="Arial"/>
                <w:sz w:val="20"/>
                <w:szCs w:val="20"/>
              </w:rPr>
              <w:t>Winnipeg</w:t>
            </w:r>
          </w:p>
        </w:tc>
        <w:tc>
          <w:tcPr>
            <w:tcW w:w="650" w:type="dxa"/>
            <w:tcBorders>
              <w:top w:val="single" w:sz="4" w:space="0" w:color="auto"/>
              <w:bottom w:val="nil"/>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3</w:t>
            </w:r>
          </w:p>
        </w:tc>
        <w:tc>
          <w:tcPr>
            <w:tcW w:w="1415" w:type="dxa"/>
            <w:tcBorders>
              <w:top w:val="single" w:sz="4" w:space="0" w:color="auto"/>
              <w:left w:val="nil"/>
              <w:bottom w:val="nil"/>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11</w:t>
            </w:r>
          </w:p>
        </w:tc>
        <w:tc>
          <w:tcPr>
            <w:tcW w:w="960" w:type="dxa"/>
            <w:tcBorders>
              <w:top w:val="single" w:sz="4" w:space="0" w:color="auto"/>
              <w:left w:val="nil"/>
              <w:bottom w:val="nil"/>
              <w:right w:val="nil"/>
            </w:tcBorders>
            <w:noWrap/>
            <w:hideMark/>
          </w:tcPr>
          <w:p w:rsidR="00E84591" w:rsidRPr="00FA5FE5" w:rsidRDefault="00E84591" w:rsidP="00FA5FE5">
            <w:pPr>
              <w:jc w:val="right"/>
              <w:rPr>
                <w:rFonts w:ascii="Arial" w:hAnsi="Arial" w:cs="Arial"/>
                <w:b/>
                <w:color w:val="FF0000"/>
                <w:sz w:val="20"/>
                <w:szCs w:val="20"/>
              </w:rPr>
            </w:pPr>
            <w:r w:rsidRPr="00FA5FE5">
              <w:rPr>
                <w:rFonts w:ascii="Arial" w:hAnsi="Arial" w:cs="Arial"/>
                <w:b/>
                <w:color w:val="FF0000"/>
                <w:sz w:val="20"/>
                <w:szCs w:val="20"/>
              </w:rPr>
              <w:t>-8</w:t>
            </w:r>
          </w:p>
        </w:tc>
        <w:tc>
          <w:tcPr>
            <w:tcW w:w="650" w:type="dxa"/>
            <w:tcBorders>
              <w:top w:val="single" w:sz="4" w:space="0" w:color="auto"/>
              <w:left w:val="nil"/>
              <w:bottom w:val="nil"/>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6</w:t>
            </w:r>
          </w:p>
        </w:tc>
        <w:tc>
          <w:tcPr>
            <w:tcW w:w="1475" w:type="dxa"/>
            <w:tcBorders>
              <w:top w:val="single" w:sz="4" w:space="0" w:color="auto"/>
              <w:left w:val="nil"/>
              <w:bottom w:val="nil"/>
              <w:right w:val="nil"/>
            </w:tcBorders>
            <w:noWrap/>
            <w:hideMark/>
          </w:tcPr>
          <w:p w:rsidR="00E84591" w:rsidRPr="00E84591" w:rsidRDefault="00E84591" w:rsidP="00FA5FE5">
            <w:pPr>
              <w:jc w:val="right"/>
              <w:rPr>
                <w:rFonts w:ascii="Arial" w:hAnsi="Arial" w:cs="Arial"/>
                <w:sz w:val="20"/>
                <w:szCs w:val="20"/>
              </w:rPr>
            </w:pPr>
            <w:r w:rsidRPr="00E84591">
              <w:rPr>
                <w:rFonts w:ascii="Arial" w:hAnsi="Arial" w:cs="Arial"/>
                <w:sz w:val="20"/>
                <w:szCs w:val="20"/>
              </w:rPr>
              <w:t>2</w:t>
            </w:r>
          </w:p>
        </w:tc>
        <w:tc>
          <w:tcPr>
            <w:tcW w:w="917" w:type="dxa"/>
            <w:tcBorders>
              <w:top w:val="single" w:sz="4" w:space="0" w:color="auto"/>
              <w:left w:val="nil"/>
              <w:bottom w:val="nil"/>
            </w:tcBorders>
            <w:noWrap/>
            <w:hideMark/>
          </w:tcPr>
          <w:p w:rsidR="00E84591" w:rsidRPr="00FA5FE5" w:rsidRDefault="00E84591" w:rsidP="00FA5FE5">
            <w:pPr>
              <w:jc w:val="right"/>
              <w:rPr>
                <w:rFonts w:ascii="Arial" w:hAnsi="Arial" w:cs="Arial"/>
                <w:b/>
                <w:sz w:val="20"/>
                <w:szCs w:val="20"/>
              </w:rPr>
            </w:pPr>
            <w:r w:rsidRPr="00FA5FE5">
              <w:rPr>
                <w:rFonts w:ascii="Arial" w:hAnsi="Arial" w:cs="Arial"/>
                <w:b/>
                <w:color w:val="00B050"/>
                <w:sz w:val="20"/>
                <w:szCs w:val="20"/>
              </w:rPr>
              <w:t>4</w:t>
            </w:r>
          </w:p>
        </w:tc>
      </w:tr>
    </w:tbl>
    <w:p w:rsidR="00726B7F" w:rsidRDefault="00FA5FE5">
      <w:pPr>
        <w:rPr>
          <w:rFonts w:ascii="Arial" w:hAnsi="Arial" w:cs="Arial"/>
          <w:sz w:val="20"/>
          <w:szCs w:val="20"/>
        </w:rPr>
      </w:pPr>
      <w:r>
        <w:rPr>
          <w:rFonts w:ascii="Arial" w:hAnsi="Arial" w:cs="Arial"/>
          <w:sz w:val="20"/>
          <w:szCs w:val="20"/>
        </w:rPr>
        <w:t xml:space="preserve"> </w:t>
      </w:r>
    </w:p>
    <w:p w:rsidR="00FA5FE5" w:rsidRPr="00726B7F" w:rsidRDefault="00CA1C2D">
      <w:pPr>
        <w:rPr>
          <w:rFonts w:ascii="Arial" w:hAnsi="Arial" w:cs="Arial"/>
          <w:sz w:val="20"/>
          <w:szCs w:val="20"/>
        </w:rPr>
      </w:pPr>
      <w:r>
        <w:rPr>
          <w:rFonts w:ascii="Arial" w:hAnsi="Arial" w:cs="Arial"/>
          <w:sz w:val="20"/>
          <w:szCs w:val="20"/>
        </w:rPr>
        <w:t xml:space="preserve">For the distribution index, the </w:t>
      </w:r>
      <w:r w:rsidR="00A27E82">
        <w:rPr>
          <w:rFonts w:ascii="Arial" w:hAnsi="Arial" w:cs="Arial"/>
          <w:sz w:val="20"/>
          <w:szCs w:val="20"/>
        </w:rPr>
        <w:t>most striking</w:t>
      </w:r>
      <w:r>
        <w:rPr>
          <w:rFonts w:ascii="Arial" w:hAnsi="Arial" w:cs="Arial"/>
          <w:sz w:val="20"/>
          <w:szCs w:val="20"/>
        </w:rPr>
        <w:t xml:space="preserve"> difference in rankings is Calgary’s jump from Canada’s least diverse economy to its most diverse. This can be attributed to the high productivity (dollars of output per unit of labour input) of the energy industry. </w:t>
      </w:r>
      <w:r w:rsidR="00A27E82">
        <w:rPr>
          <w:rFonts w:ascii="Arial" w:hAnsi="Arial" w:cs="Arial"/>
          <w:sz w:val="20"/>
          <w:szCs w:val="20"/>
        </w:rPr>
        <w:t>In 2014, t</w:t>
      </w:r>
      <w:r>
        <w:rPr>
          <w:rFonts w:ascii="Arial" w:hAnsi="Arial" w:cs="Arial"/>
          <w:sz w:val="20"/>
          <w:szCs w:val="20"/>
        </w:rPr>
        <w:t>he Pr</w:t>
      </w:r>
      <w:r w:rsidR="00A27E82">
        <w:rPr>
          <w:rFonts w:ascii="Arial" w:hAnsi="Arial" w:cs="Arial"/>
          <w:sz w:val="20"/>
          <w:szCs w:val="20"/>
        </w:rPr>
        <w:t>imary and Utilities sector made</w:t>
      </w:r>
      <w:r>
        <w:rPr>
          <w:rFonts w:ascii="Arial" w:hAnsi="Arial" w:cs="Arial"/>
          <w:sz w:val="20"/>
          <w:szCs w:val="20"/>
        </w:rPr>
        <w:t xml:space="preserve"> up 32% of Calgary’s estimated GDP, but only 9%</w:t>
      </w:r>
      <w:r w:rsidR="00A27E82">
        <w:rPr>
          <w:rFonts w:ascii="Arial" w:hAnsi="Arial" w:cs="Arial"/>
          <w:sz w:val="20"/>
          <w:szCs w:val="20"/>
        </w:rPr>
        <w:t xml:space="preserve"> of its employment</w:t>
      </w:r>
      <w:r>
        <w:rPr>
          <w:rFonts w:ascii="Arial" w:hAnsi="Arial" w:cs="Arial"/>
          <w:sz w:val="20"/>
          <w:szCs w:val="20"/>
        </w:rPr>
        <w:t>.</w:t>
      </w:r>
      <w:bookmarkStart w:id="0" w:name="_GoBack"/>
      <w:bookmarkEnd w:id="0"/>
      <w:r>
        <w:rPr>
          <w:rFonts w:ascii="Arial" w:hAnsi="Arial" w:cs="Arial"/>
          <w:sz w:val="20"/>
          <w:szCs w:val="20"/>
        </w:rPr>
        <w:t xml:space="preserve"> </w:t>
      </w:r>
    </w:p>
    <w:p w:rsidR="00726B7F" w:rsidRDefault="00726B7F"/>
    <w:sectPr w:rsidR="00726B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7F"/>
    <w:rsid w:val="00390500"/>
    <w:rsid w:val="006811C6"/>
    <w:rsid w:val="00726B7F"/>
    <w:rsid w:val="00A27E82"/>
    <w:rsid w:val="00CA1C2D"/>
    <w:rsid w:val="00E84591"/>
    <w:rsid w:val="00FA5F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0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0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EEDC</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Reid</dc:creator>
  <cp:lastModifiedBy>Paul Reid</cp:lastModifiedBy>
  <cp:revision>1</cp:revision>
  <dcterms:created xsi:type="dcterms:W3CDTF">2015-04-07T20:10:00Z</dcterms:created>
  <dcterms:modified xsi:type="dcterms:W3CDTF">2015-04-07T21:53:00Z</dcterms:modified>
</cp:coreProperties>
</file>