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B365D"/>
          <w:sz w:val="36"/>
          <w:szCs w:val="36"/>
        </w:rPr>
        <w:t xml:space="preserve">G1 Master — Path to Purchase Analysis</w:t>
      </w:r>
    </w:p>
    <w:p>
      <w:pPr>
        <w:spacing w:after="300"/>
      </w:pPr>
      <w:r>
        <w:rPr>
          <w:b/>
          <w:bCs/>
          <w:color w:val="4A5568"/>
          <w:sz w:val="24"/>
          <w:szCs w:val="24"/>
        </w:rPr>
        <w:t xml:space="preserve">Cohort: Converters (n=8)</w:t>
      </w:r>
    </w:p>
    <w:p>
      <w:pPr>
        <w:spacing w:after="400"/>
      </w:pPr>
      <w:r>
        <w:rPr>
          <w:sz w:val="22"/>
          <w:szCs w:val="22"/>
        </w:rPr>
        <w:t xml:space="preserve">This report reconstructs the journeys of the 8 users who converted from free to premium on G1 Master, analyzes their common behaviors, compares them against the general free-user population, and highlights the strongest leading indicators of purchase.</w:t>
      </w:r>
    </w:p>
    <w:p>
      <w:pPr>
        <w:spacing w:after="400"/>
      </w:pPr>
      <w:r>
        <w:rPr>
          <w:color w:val="4A5568"/>
          <w:sz w:val="18"/>
          <w:szCs w:val="18"/>
        </w:rPr>
        <w:t xml:space="preserve">Note: Individual UTM acquisition parameters and device categories are not currently logged at the user level in the database or Google Sheets, making these specific attributes unavailable for tracking individual journeys. Users' sign-in methods have been extracted from Supabase Auth.</w:t>
      </w:r>
    </w:p>
    <w:p>
      <w:pPr>
        <w:sectPr>
          <w:pgSz w:w="11906" w:h="16838" w:orient="portrait"/>
          <w:pgMar w:top="1440" w:right="1440" w:bottom="1440" w:left="1440" w:header="708" w:footer="708" w:gutter="0"/>
          <w:pgNumType/>
          <w:docGrid w:linePitch="360"/>
        </w:sectPr>
      </w:pPr>
    </w:p>
    <w:p>
      <w:pPr>
        <w:pStyle w:val="Heading1"/>
        <w:spacing w:after="200" w:before="200"/>
      </w:pPr>
      <w:r>
        <w:rPr>
          <w:b/>
          <w:bCs/>
          <w:color w:val="1B365D"/>
          <w:sz w:val="28"/>
          <w:szCs w:val="28"/>
        </w:rPr>
        <w:t xml:space="preserve">Part 1 — Per-User Timelines (Side-by-Side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Metric</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1
(hacheylee@gmail.com)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2
(evaposch@hotmail.ca)</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3
(swetajshah70@gmail.com)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4
(paolalcr17@gmail.com)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5
(besamijalica@hotmail.com)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6
(valentina.viggers@gmail.com)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7
(msdrey@rogers.com)</w:t>
            </w:r>
          </w:p>
        </w:tc>
        <w:tc>
          <w:tcPr>
            <w:tcBorders>
              <w:top w:val="single" w:color="CBD5E0" w:sz="4"/>
              <w:left w:val="single" w:color="CBD5E0" w:sz="4"/>
              <w:bottom w:val="single" w:color="CBD5E0" w:sz="4"/>
              <w:right w:val="single" w:color="CBD5E0" w:sz="4"/>
            </w:tcBorders>
            <w:shd w:fill="F7FAFC"/>
          </w:tcPr>
          <w:p>
            <w:pPr>
              <w:spacing w:after="100" w:before="100"/>
              <w:jc w:val="center"/>
            </w:pPr>
            <w:r>
              <w:rPr>
                <w:b/>
                <w:bCs/>
                <w:color w:val="1B365D"/>
                <w:sz w:val="18"/>
                <w:szCs w:val="18"/>
              </w:rPr>
              <w:t xml:space="preserve">User 8
(samsonamarachi05@gmail.com)</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User ID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5de54ac2-ae6c...</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5db50c8e-c2e2...</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d63a0675-2fd1...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46039128-aa3d...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44a91b5b-88da...</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efc2721d-4466...</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2f376d0b-2bd0...</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f98eac04-5159...</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Time to Convert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15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7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21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35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24h 33m (1d 0h)</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50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22 minutes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21 minutes</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Sessions Before Upgrade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 (est.)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Practice Tests Completed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1 test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0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0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2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3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3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3 tests</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Paywall / Credit-Exhausted?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Yes (Modal at 20:19)</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Yes (Exhausted at 15:09)</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Yes (Modal at 19:42)</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Checkout Abandonment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checkout event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(Bought in &lt;1m)</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(Bought in &lt;1m)</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No (Bought in &lt;1m)</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Avg Score Before Purchase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65% (2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60% (3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50% (1 test)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N/A</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60% (4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53% (4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73% (4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73% (4 tests)</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Avg Score After Purchase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N/A</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N/A</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60% (1 test)</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66% (25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69% (77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63% (41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86% (54 tests)</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81% (15 tests)</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Sign-in Method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Email</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Email</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Google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Google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Google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Google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Email</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Email</w:t>
            </w:r>
          </w:p>
        </w:tc>
      </w:tr>
      <w:tr>
        <w:tc>
          <w:tcPr>
            <w:tcBorders>
              <w:top w:val="single" w:color="CBD5E0" w:sz="4"/>
              <w:left w:val="single" w:color="CBD5E0" w:sz="4"/>
              <w:bottom w:val="single" w:color="CBD5E0" w:sz="4"/>
              <w:right w:val="single" w:color="CBD5E0" w:sz="4"/>
            </w:tcBorders>
          </w:tcPr>
          <w:p>
            <w:pPr>
              <w:spacing w:after="100" w:before="100"/>
              <w:jc w:val="left"/>
            </w:pPr>
            <w:r>
              <w:rPr>
                <w:b/>
                <w:bCs/>
                <w:color w:val="2D3748"/>
                <w:sz w:val="16"/>
                <w:szCs w:val="16"/>
              </w:rPr>
              <w:t xml:space="preserve">Preceding Event to Upgrade</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Rules of Road Completed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Rules of Road Completed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Session Started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User Signed Up</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Session Started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Checkout Initiated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Checkout Initiated</w:t>
            </w:r>
          </w:p>
        </w:tc>
        <w:tc>
          <w:tcPr>
            <w:tcBorders>
              <w:top w:val="single" w:color="CBD5E0" w:sz="4"/>
              <w:left w:val="single" w:color="CBD5E0" w:sz="4"/>
              <w:bottom w:val="single" w:color="CBD5E0" w:sz="4"/>
              <w:right w:val="single" w:color="CBD5E0" w:sz="4"/>
            </w:tcBorders>
          </w:tcPr>
          <w:p>
            <w:pPr>
              <w:spacing w:after="100" w:before="100"/>
              <w:jc w:val="left"/>
            </w:pPr>
            <w:r>
              <w:rPr>
                <w:b w:val="false"/>
                <w:bCs w:val="false"/>
                <w:color w:val="2D3748"/>
                <w:sz w:val="16"/>
                <w:szCs w:val="16"/>
              </w:rPr>
              <w:t xml:space="preserve">Checkout Initiated</w:t>
            </w:r>
          </w:p>
        </w:tc>
      </w:tr>
    </w:tbl>
    <w:p>
      <w:pPr>
        <w:spacing w:before="100"/>
      </w:pPr>
      <w:r>
        <w:rPr>
          <w:color w:val="4A5568"/>
          <w:sz w:val="16"/>
          <w:szCs w:val="16"/>
        </w:rPr>
        <w:t xml:space="preserve">
* hacheylee@gmail.com signed up on February 20, 2026, which predates the implementation of the Google Sheet event logging tracker (started March 4, 2026). His stats were reconstructed using Supabase database records.</w:t>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1B365D"/>
          <w:sz w:val="28"/>
          <w:szCs w:val="28"/>
        </w:rPr>
        <w:t xml:space="preserve">Part 2 — Cross-User Pattern Synthesis</w:t>
      </w:r>
    </w:p>
    <w:p>
      <w:pPr>
        <w:pStyle w:val="Heading2"/>
        <w:spacing w:after="100" w:before="200"/>
      </w:pPr>
      <w:r>
        <w:rPr>
          <w:b/>
          <w:bCs/>
          <w:color w:val="4A5568"/>
          <w:sz w:val="22"/>
          <w:szCs w:val="22"/>
        </w:rPr>
        <w:t xml:space="preserve">1. Common Path Shapes</w:t>
      </w:r>
    </w:p>
    <w:p>
      <w:pPr>
        <w:spacing w:after="200"/>
      </w:pPr>
      <w:r>
        <w:rPr>
          <w:sz w:val="22"/>
          <w:szCs w:val="22"/>
        </w:rPr>
        <w:t xml:space="preserve">The converters divide clearly into two behavior shapes:
</w:t>
      </w:r>
      <w:r>
        <w:rPr>
          <w:b/>
          <w:bCs/>
          <w:sz w:val="22"/>
          <w:szCs w:val="22"/>
        </w:rPr>
        <w:t xml:space="preserve">• The Instant Buyers (5/8, 62.5%): </w:t>
      </w:r>
      <w:r>
        <w:rPr>
          <w:sz w:val="22"/>
          <w:szCs w:val="22"/>
        </w:rPr>
        <w:t xml:space="preserve">Users who sign up and upgrade immediately (within 7 to 35 minutes) without consuming all their free practice credits (0 to 2 practice tests completed). For these users, conversion is driven by immediate high purchase intent, likely prompted by onboarding screens or premium feature visibility.
</w:t>
      </w:r>
      <w:r>
        <w:rPr>
          <w:b/>
          <w:bCs/>
          <w:sz w:val="22"/>
          <w:szCs w:val="22"/>
        </w:rPr>
        <w:t xml:space="preserve">• The Paywall Converters (3/8, 37.5%): </w:t>
      </w:r>
      <w:r>
        <w:rPr>
          <w:sz w:val="22"/>
          <w:szCs w:val="22"/>
        </w:rPr>
        <w:t xml:space="preserve">Users who register, immediately exhaust their 3 free weekly practice credits within a single session (15 to 30 minutes), hit the paywall (limit modal or sidebar), and purchase premium within 1 minute of initiating checkout. The credit limit is the direct catalyst for their purchase.</w:t>
      </w:r>
    </w:p>
    <w:p>
      <w:pPr>
        <w:pStyle w:val="Heading2"/>
        <w:spacing w:after="100" w:before="200"/>
      </w:pPr>
      <w:r>
        <w:rPr>
          <w:b/>
          <w:bCs/>
          <w:color w:val="4A5568"/>
          <w:sz w:val="22"/>
          <w:szCs w:val="22"/>
        </w:rPr>
        <w:t xml:space="preserve">2. Timelines &amp; Consumption Summary (n=8)</w:t>
      </w:r>
    </w:p>
    <w:p>
      <w:pPr>
        <w:spacing w:after="200"/>
      </w:pPr>
      <w:r>
        <w:rPr>
          <w:b/>
          <w:bCs/>
          <w:sz w:val="22"/>
          <w:szCs w:val="22"/>
        </w:rPr>
        <w:t xml:space="preserve">• Time-to-Convert: </w:t>
      </w:r>
      <w:r>
        <w:rPr>
          <w:sz w:val="22"/>
          <w:szCs w:val="22"/>
        </w:rPr>
        <w:t xml:space="preserve">Median of 21.5 minutes. Range goes from 7 minutes (fastest) to 1 day 33 minutes (slowest).
</w:t>
      </w:r>
      <w:r>
        <w:rPr>
          <w:b/>
          <w:bCs/>
          <w:sz w:val="22"/>
          <w:szCs w:val="22"/>
        </w:rPr>
        <w:t xml:space="preserve">• Sessions-to-Convert: </w:t>
      </w:r>
      <w:r>
        <w:rPr>
          <w:sz w:val="22"/>
          <w:szCs w:val="22"/>
        </w:rPr>
        <w:t xml:space="preserve">Median of 1 session. Range is 1 to 2 sessions (87.5% converted during their very first session; only 1 returned on day 2 to upgrade).
</w:t>
      </w:r>
      <w:r>
        <w:rPr>
          <w:b/>
          <w:bCs/>
          <w:sz w:val="22"/>
          <w:szCs w:val="22"/>
        </w:rPr>
        <w:t xml:space="preserve">• Practice Tests Completed Before Purchase: </w:t>
      </w:r>
      <w:r>
        <w:rPr>
          <w:sz w:val="22"/>
          <w:szCs w:val="22"/>
        </w:rPr>
        <w:t xml:space="preserve">Median of 2 tests. Range goes from 0 (2 users bought without taking any tests) to 3 (3 users exhausted all credits).</w:t>
      </w:r>
    </w:p>
    <w:p>
      <w:pPr>
        <w:pStyle w:val="Heading2"/>
        <w:spacing w:after="100" w:before="200"/>
      </w:pPr>
      <w:r>
        <w:rPr>
          <w:b/>
          <w:bCs/>
          <w:color w:val="4A5568"/>
          <w:sz w:val="22"/>
          <w:szCs w:val="22"/>
        </w:rPr>
        <w:t xml:space="preserve">3. Sign-in Methods &amp; Demographics</w:t>
      </w:r>
    </w:p>
    <w:p>
      <w:pPr>
        <w:spacing w:after="200"/>
      </w:pPr>
      <w:r>
        <w:rPr>
          <w:sz w:val="22"/>
          <w:szCs w:val="22"/>
        </w:rPr>
        <w:t xml:space="preserve">• Google OAuth vs. Email: Exactly 50/50 split (4 Google sign-ins, 4 Email sign-ins).
• Fast vs. Slow Clustering: Converters cluster heavily as Fast (same-session) buyers. 7 out of 8 users (87.5%) upgraded in their initial session, taking less than an hour from signup to conversion.</w:t>
      </w:r>
    </w:p>
    <w:p>
      <w:pPr>
        <w:pStyle w:val="Heading2"/>
        <w:spacing w:after="100" w:before="200"/>
      </w:pPr>
      <w:r>
        <w:rPr>
          <w:b/>
          <w:bCs/>
          <w:color w:val="4A5568"/>
          <w:sz w:val="22"/>
          <w:szCs w:val="22"/>
        </w:rPr>
        <w:t xml:space="preserve">4. Strongest Leading Indicators of Conversion (vs. n=411 Free Users)</w:t>
      </w:r>
    </w:p>
    <w:p>
      <w:pPr>
        <w:spacing w:after="400"/>
      </w:pPr>
      <w:r>
        <w:rPr>
          <w:b/>
          <w:bCs/>
          <w:sz w:val="22"/>
          <w:szCs w:val="22"/>
        </w:rPr>
        <w:t xml:space="preserve">• Checkout Initiation (Selectivity: Extreme): </w:t>
      </w:r>
      <w:r>
        <w:rPr>
          <w:sz w:val="22"/>
          <w:szCs w:val="22"/>
        </w:rPr>
        <w:t xml:space="preserve">Globally, 15 unique users initiated a checkout in the tracker (12 free users who abandoned, plus 3 converters who purchased). This represents a 20% conversion rate and an 80% abandonment rate among clickers. While the checkout abandonment rate is high globally (80%), initiating checkout is still a very strong selection filter (only 2.9% of the 411 general free users ever click a checkout button). Notably, for the converters who reached checkout, there was zero checkout abandonment—they completed the purchase immediately in the same session (under 1 minute) rather than returning days later.
</w:t>
      </w:r>
      <w:r>
        <w:rPr>
          <w:b/>
          <w:bCs/>
          <w:sz w:val="22"/>
          <w:szCs w:val="22"/>
        </w:rPr>
        <w:t xml:space="preserve">• Rapid Credit Exhaustion / Completion of 3+ Practice Tests (Selectivity: High): </w:t>
      </w:r>
      <w:r>
        <w:rPr>
          <w:sz w:val="22"/>
          <w:szCs w:val="22"/>
        </w:rPr>
        <w:t xml:space="preserve">21.4% of all free users exhaust their credits. However, 37.5% of converters completed all 3 tests before purchasing, doing so within 20 minutes of signing up. Rapid credit depletion in session 1 is a strong urgency signal.</w:t>
      </w:r>
    </w:p>
    <w:p>
      <w:pPr>
        <w:pStyle w:val="Heading1"/>
        <w:spacing w:after="200" w:before="400"/>
      </w:pPr>
      <w:r>
        <w:rPr>
          <w:b/>
          <w:bCs/>
          <w:color w:val="1B365D"/>
          <w:sz w:val="28"/>
          <w:szCs w:val="28"/>
        </w:rPr>
        <w:t xml:space="preserve">Part 3 — Test Scores &amp; Efficacy Analysis</w:t>
      </w:r>
    </w:p>
    <w:p>
      <w:pPr>
        <w:spacing w:after="400"/>
      </w:pPr>
      <w:r>
        <w:rPr>
          <w:b/>
          <w:bCs/>
          <w:sz w:val="22"/>
          <w:szCs w:val="22"/>
        </w:rPr>
        <w:t xml:space="preserve">• Pre- vs. Post-Conversion: </w:t>
      </w:r>
      <w:r>
        <w:rPr>
          <w:sz w:val="22"/>
          <w:szCs w:val="22"/>
        </w:rPr>
        <w:t xml:space="preserve">There is a clear performance improvement after upgrading to Premium. Converters average 63% on tests completed while free, which rises to 72% (across 213 tests) after upgrading to Premium.
</w:t>
      </w:r>
      <w:r>
        <w:rPr>
          <w:b/>
          <w:bCs/>
          <w:sz w:val="22"/>
          <w:szCs w:val="22"/>
        </w:rPr>
        <w:t xml:space="preserve">• First-Test Comparison: </w:t>
      </w:r>
      <w:r>
        <w:rPr>
          <w:sz w:val="22"/>
          <w:szCs w:val="22"/>
        </w:rPr>
        <w:t xml:space="preserve">On their very first test, converters average 58% compared to 57% for general free users. This suggests they start with identical baseline knowledge levels.
</w:t>
      </w:r>
      <w:r>
        <w:rPr>
          <w:b/>
          <w:bCs/>
          <w:sz w:val="22"/>
          <w:szCs w:val="22"/>
        </w:rPr>
        <w:t xml:space="preserve">• study engagement: </w:t>
      </w:r>
      <w:r>
        <w:rPr>
          <w:sz w:val="22"/>
          <w:szCs w:val="22"/>
        </w:rPr>
        <w:t xml:space="preserve">Converters study far more extensively post-upgrade, completing a combined 213 tests (with individual counts up to 77 tests), driving their score improvements.</w:t>
      </w:r>
    </w:p>
    <w:p>
      <w:pPr>
        <w:pStyle w:val="Heading1"/>
        <w:spacing w:after="200" w:before="400"/>
      </w:pPr>
      <w:r>
        <w:rPr>
          <w:b/>
          <w:bCs/>
          <w:color w:val="1B365D"/>
          <w:sz w:val="28"/>
          <w:szCs w:val="28"/>
        </w:rPr>
        <w:t xml:space="preserve">Data-Quality Guardrails &amp; Caveats</w:t>
      </w:r>
    </w:p>
    <w:p>
      <w:pPr>
        <w:spacing w:after="200"/>
      </w:pPr>
      <w:r>
        <w:rPr>
          <w:b/>
          <w:bCs/>
          <w:sz w:val="22"/>
          <w:szCs w:val="22"/>
        </w:rPr>
        <w:t xml:space="preserve">• GTM Double-Firing Bug: </w:t>
      </w:r>
      <w:r>
        <w:rPr>
          <w:sz w:val="22"/>
          <w:szCs w:val="22"/>
        </w:rPr>
        <w:t xml:space="preserve">Top-of-funnel tracking events before June 17, 2026 suffered from a GTM double-firing inflation bug. Because all 8 users registered and converted before June 17th, their initial page views, sessions, and signup counts could be artificially inflated.
</w:t>
      </w:r>
      <w:r>
        <w:rPr>
          <w:b/>
          <w:bCs/>
          <w:sz w:val="22"/>
          <w:szCs w:val="22"/>
        </w:rPr>
        <w:t xml:space="preserve">• Small Sample Size (n=8): </w:t>
      </w:r>
      <w:r>
        <w:rPr>
          <w:sz w:val="22"/>
          <w:szCs w:val="22"/>
        </w:rPr>
        <w:t xml:space="preserve">These insights represent directional observations only. Due to the very small cohort size, these patterns should not be treated as statistically significant or generalized without a larger data set.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2026-06-21T21:44:30.218Z</dcterms:created>
  <dcterms:modified xsi:type="dcterms:W3CDTF">2026-06-21T21:44:30.219Z</dcterms:modified>
</cp:coreProperties>
</file>

<file path=docProps/custom.xml><?xml version="1.0" encoding="utf-8"?>
<Properties xmlns="http://schemas.openxmlformats.org/officeDocument/2006/custom-properties" xmlns:vt="http://schemas.openxmlformats.org/officeDocument/2006/docPropsVTypes"/>
</file>