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FAE68" w14:textId="77777777" w:rsidR="00A47FCF" w:rsidRDefault="00A47FCF" w:rsidP="00CE2801">
      <w:pPr>
        <w:pStyle w:val="p1"/>
        <w:rPr>
          <w:rFonts w:ascii="Arial" w:eastAsia="Arial" w:hAnsi="Arial" w:cs="Arial"/>
          <w:sz w:val="22"/>
          <w:szCs w:val="22"/>
        </w:rPr>
      </w:pPr>
    </w:p>
    <w:p w14:paraId="2892A882" w14:textId="77777777" w:rsidR="00601C7E" w:rsidRDefault="00601C7E" w:rsidP="00CE2801">
      <w:pPr>
        <w:pStyle w:val="p1"/>
        <w:rPr>
          <w:rFonts w:ascii="Arial" w:eastAsia="Arial" w:hAnsi="Arial" w:cs="Arial"/>
          <w:sz w:val="22"/>
          <w:szCs w:val="22"/>
        </w:rPr>
      </w:pPr>
    </w:p>
    <w:p w14:paraId="1D57586C" w14:textId="77777777" w:rsidR="00601C7E" w:rsidRPr="007B38E2" w:rsidRDefault="00601C7E" w:rsidP="007B38E2">
      <w:pPr>
        <w:pStyle w:val="p1"/>
        <w:jc w:val="center"/>
        <w:rPr>
          <w:rFonts w:ascii="Arial" w:eastAsia="Arial" w:hAnsi="Arial" w:cs="Arial"/>
          <w:sz w:val="22"/>
          <w:szCs w:val="22"/>
        </w:rPr>
      </w:pPr>
    </w:p>
    <w:p w14:paraId="696A527A" w14:textId="6FA637CE" w:rsidR="007B38E2" w:rsidRPr="007B38E2" w:rsidRDefault="00F82DA5" w:rsidP="007B38E2">
      <w:pPr>
        <w:pStyle w:val="p1"/>
        <w:jc w:val="center"/>
        <w:rPr>
          <w:rFonts w:ascii="Arial" w:eastAsia="Arial" w:hAnsi="Arial" w:cs="Arial"/>
          <w:b/>
          <w:bCs/>
          <w:i/>
          <w:iCs/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Notas Adicionais</w:t>
      </w:r>
      <w:r w:rsidR="007B38E2" w:rsidRPr="007B38E2">
        <w:rPr>
          <w:rFonts w:ascii="Arial" w:eastAsia="Arial" w:hAnsi="Arial" w:cs="Arial"/>
          <w:b/>
          <w:bCs/>
          <w:i/>
          <w:iCs/>
          <w:sz w:val="28"/>
          <w:szCs w:val="28"/>
        </w:rPr>
        <w:br/>
      </w:r>
      <w:r>
        <w:rPr>
          <w:rFonts w:ascii="Arial" w:eastAsia="Arial" w:hAnsi="Arial" w:cs="Arial"/>
          <w:i/>
          <w:iCs/>
          <w:sz w:val="20"/>
          <w:szCs w:val="20"/>
        </w:rPr>
        <w:t>Anexo opcional – 2 páginas no máximo</w:t>
      </w:r>
    </w:p>
    <w:p w14:paraId="4D224CCE" w14:textId="5D0120FC" w:rsidR="00F82DA5" w:rsidRPr="00F82DA5" w:rsidRDefault="00F82DA5" w:rsidP="00F82DA5">
      <w:pPr>
        <w:spacing w:before="100" w:beforeAutospacing="1" w:after="100" w:afterAutospacing="1" w:line="240" w:lineRule="auto"/>
        <w:outlineLvl w:val="2"/>
        <w:rPr>
          <w:sz w:val="20"/>
          <w:szCs w:val="20"/>
        </w:rPr>
      </w:pPr>
      <w:r>
        <w:rPr>
          <w:b/>
          <w:bCs/>
          <w:sz w:val="20"/>
          <w:szCs w:val="20"/>
        </w:rPr>
        <w:t>Nome do projeto/</w:t>
      </w:r>
      <w:proofErr w:type="spellStart"/>
      <w:r>
        <w:rPr>
          <w:b/>
          <w:bCs/>
          <w:sz w:val="20"/>
          <w:szCs w:val="20"/>
        </w:rPr>
        <w:t>startup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PerSense</w:t>
      </w:r>
      <w:r>
        <w:rPr>
          <w:sz w:val="20"/>
          <w:szCs w:val="20"/>
        </w:rPr>
        <w:br/>
      </w:r>
      <w:r w:rsidRPr="00F82DA5">
        <w:rPr>
          <w:b/>
          <w:bCs/>
          <w:sz w:val="20"/>
          <w:szCs w:val="20"/>
        </w:rPr>
        <w:t>Pessoa de contacto</w:t>
      </w:r>
      <w:r>
        <w:rPr>
          <w:sz w:val="20"/>
          <w:szCs w:val="20"/>
        </w:rPr>
        <w:t xml:space="preserve"> </w:t>
      </w:r>
      <w:r w:rsidRPr="00F82DA5">
        <w:rPr>
          <w:sz w:val="16"/>
          <w:szCs w:val="16"/>
        </w:rPr>
        <w:t>(nome completo e contacto)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(preencher)</w:t>
      </w:r>
    </w:p>
    <w:p w14:paraId="62C4F7B2" w14:textId="6BDF008E" w:rsidR="00F75052" w:rsidRPr="00F82DA5" w:rsidRDefault="00F75052" w:rsidP="00F82DA5">
      <w:pPr>
        <w:spacing w:before="100" w:beforeAutospacing="1" w:after="100" w:afterAutospacing="1" w:line="240" w:lineRule="auto"/>
        <w:jc w:val="both"/>
        <w:outlineLvl w:val="2"/>
        <w:rPr>
          <w:sz w:val="20"/>
          <w:szCs w:val="20"/>
        </w:rPr>
      </w:pPr>
    </w:p>
    <w:p>
      <w:r>
        <w:rPr>
          <w:b/>
          <w:sz w:val="24"/>
        </w:rPr>
        <w:t>Methodology — 3-phase evidence curation</w:t>
      </w:r>
    </w:p>
    <w:p>
      <w:r>
        <w:rPr>
          <w:b w:val="0"/>
          <w:sz w:val="20"/>
        </w:rPr>
        <w:t>Three-phase pipeline anchored to the original PerSense dossier: (1) extract — scripts/extract_text.py + scripts/find_claims.py pulled quantitative claims from PDFs/HTML and assigned stable EV-IDs (EV-001 … EV-088); (2) verify — ledger.json records source_file + page + section + original_context, and every claim was cross-referenced against external sources before slide use; (3) augment — internal_only EV-IDs (EV-041, EV-042, EV-043) are flagged honestly and never appear on slide-facing magnitude lines. Discrepancies resolved by preferring the externally-verified figure. Total ledger size: 88 entries; sources scanned: 5.</w:t>
      </w:r>
    </w:p>
    <w:p>
      <w:r>
        <w:rPr>
          <w:b/>
          <w:sz w:val="24"/>
        </w:rPr>
        <w:t>Chosen business thesis — BT-03 PT private oncology white-label</w:t>
      </w:r>
    </w:p>
    <w:p>
      <w:r>
        <w:rPr>
          <w:b/>
          <w:sz w:val="22"/>
        </w:rPr>
        <w:t>One-line</w:t>
        <w:br/>
        <w:t>Subscription dashboard + JITAI sensing layer for BCS senology follow-up, sold per-hospital to PT private oncology operators that already differentiate on patient experience.</w:t>
      </w:r>
    </w:p>
    <w:p>
      <w:r>
        <w:rPr>
          <w:b/>
          <w:sz w:val="22"/>
        </w:rPr>
        <w:t>Who pays / who uses</w:t>
        <w:br/>
        <w:t>- Customer: PT private hospital groups — head of oncology / senology / quality at CUF Oncologia, Lusiadas, Luz Saude.</w:t>
        <w:br/>
        <w:t>- Buyer/User split: Hospital pays SaaS; senology team uses the dashboard; BCS patient uses the app; oncologist remains the accountable physician.</w:t>
      </w:r>
    </w:p>
    <w:p>
      <w:r>
        <w:rPr>
          <w:b/>
          <w:sz w:val="22"/>
        </w:rPr>
        <w:t>Revenue model</w:t>
        <w:br/>
        <w:t>- Mechanism: SaaS per-hospital, monthly subscription + light setup; optional per-active-case overage.</w:t>
        <w:br/>
        <w:t>- Price point hypothesis: EUR 800–1500/hospital/month base (anchor: EV-084 PerSense Phase-2 EUR 500–2K/mo; EV-083 white-label B2B EUR 15–50K/yr; EV-047 PoV threshold ≥EUR 200/mo).</w:t>
        <w:br/>
        <w:t>- Unit economics implication: EUR 10–18K ACV/hospital, dwarfed by the alternative spend (~EUR 60–80K/yr for a psycho-oncologist FTE the head cannot hire); gross margin SaaS-typical once 3+ sites share the platform.</w:t>
      </w:r>
    </w:p>
    <w:p>
      <w:r>
        <w:rPr>
          <w:b/>
          <w:sz w:val="22"/>
        </w:rPr>
        <w:t>TAM (serviceable)</w:t>
        <w:br/>
        <w:t>EUR 0.5–1.0M/yr PT serviceable. ~3 large groups × ~8 senology-active sites = ~24 hospital-units; capture 30–50% over 3 yr = 7–12 active sites @ EUR 800–1500/mo → EUR 67K–216K/yr Yr2; full PT private TAM EUR 0.5–1M/yr including overages and module expansion. Sanity ceiling: PT digital-mental-health market EUR 40–60M (EV-074). Anchors: EV-074, EV-083, EV-084, EV-047, EV-019.</w:t>
      </w:r>
    </w:p>
    <w:p>
      <w:r>
        <w:rPr>
          <w:b/>
          <w:sz w:val="22"/>
        </w:rPr>
        <w:t>Time to first revenue</w:t>
        <w:br/>
        <w:t>6 months. Bottlenecks: (1) procurement cycle inside CUF/Lusiadas/Luz (no signed LOI yet); (2) clinician-pathway integration so dashboards are actually used (Limbic-style referral integration, EV-026); (3) BCS month-0–24 follow-up standardisation across the three groups.</w:t>
      </w:r>
    </w:p>
    <w:p>
      <w:r>
        <w:rPr>
          <w:b/>
          <w:sz w:val="22"/>
        </w:rPr>
        <w:t>Regulatory path</w:t>
        <w:br/>
        <w:t>MDR Class I (wellness / triage decision-support, no diagnostic claim) initially; upgrade to Class IIa once revenue funds it. Cost: &lt;EUR 30K initial (Class I self-cert + GDPR); IIa upgrade EUR 300–700K (EV-057). Timeline: Class I 3–6 mo; IIa 24–36 mo (EV-058). GDPR liability precedent EUR 2.3M (EV-062).</w:t>
      </w:r>
    </w:p>
    <w:p>
      <w:r>
        <w:rPr>
          <w:b/>
          <w:sz w:val="22"/>
        </w:rPr>
        <w:t>What this thesis demands of the PoV pilot</w:t>
        <w:br/>
        <w:t>This section drives `pilot-designer`'s success criteria. The 8–12-week PoV must produce, no exceptions:</w:t>
      </w:r>
    </w:p>
    <w:p>
      <w:r>
        <w:rPr>
          <w:b w:val="0"/>
          <w:sz w:val="20"/>
        </w:rPr>
        <w:t>- ≥2 PT private senology units sign LOI or paid pilot at ≥EUR 200/clinician-or-hospital/month by week 12 (EV-047) — without this, the SaaS hypothesis is unfalsified and BT-03 collapses.</w:t>
        <w:br/>
        <w:t>- Clinician burden quantified and bounded: alerts/clinician/week generated by the JITAI layer, with an explicit upper bound the senology team confirms it can absorb without new FTE hires (problem.md v2 open issue 3). If burden &gt; absorbable, the pilot has failed regardless of detection performance.</w:t>
        <w:br/>
        <w:t>- Between-consultation detection precision/recall reported on the BCS months-0–24 cohort, with PHQ-9/GAD-7 deltas at week 0/4/8/12 — this is the clinical credibility floor the buyer's quality director will demand and is the asset BT-01 (DiGA) and BT-02 (pharma) inherit.</w:t>
        <w:br/>
        <w:t>- Patient consent + activation ≥50% of eligible BCS referred from senology consultation, materially lifting the 34% iNNOVSensing baseline (EV-041); shows the clinician-mediated referral pathway works.</w:t>
        <w:br/>
        <w:t>- Engagement ≥60% weekly active among consented patients across 8+ weeks (anchor: Limbic 33% NHS adoption, EV-026) so dashboards are not free-rider artefacts.</w:t>
        <w:br/>
        <w:t>- Buyer-facing dashboard shipped as the deliverable, not a slide deck: NPS-relevant metrics (alerts caught vs missed, time-to-intervention, PHQ-9/GAD-7 trajectory) usable in the hospital's quality / accreditation reporting.</w:t>
        <w:br/>
        <w:t>- Deployment cost ≤EUR 150K total to validate (EV-080: PT validation 50% cheaper than NHS) — protects capital efficiency claim.</w:t>
        <w:br/>
        <w:t>- Data ownership + GDPR DPIA executed and signed with at least one hospital DPO, since EV-062 EUR 2.3M GDPR precedent makes a breach existential.</w:t>
      </w:r>
    </w:p>
    <w:p>
      <w:r>
        <w:rPr>
          <w:b/>
          <w:sz w:val="22"/>
        </w:rPr>
        <w:t>Top risks</w:t>
        <w:br/>
        <w:t>- PT private market concentration (3 groups) — losing one buyer halves the TAM.</w:t>
        <w:br/>
        <w:t>- Free-rider dashboards: adopted but unused; engagement collapses without referral-pathway integration (EV-026).</w:t>
        <w:br/>
        <w:t>- Regulatory drift: as evidence claims expand, Class IIa becomes mandatory and EUR 300–700K capex returns (EV-057).</w:t>
      </w:r>
    </w:p>
    <w:p>
      <w:r>
        <w:rPr>
          <w:b/>
          <w:sz w:val="22"/>
        </w:rPr>
        <w:t>Value Proposition Canvas (Osterwalder) — for the BUYER, not the end-user</w:t>
      </w:r>
    </w:p>
    <w:p>
      <w:r>
        <w:rPr>
          <w:b w:val="0"/>
          <w:sz w:val="20"/>
        </w:rPr>
        <w:t>Buyer = head of senology / oncology operations / quality at a PT private hospital group. Not the BCS patient.</w:t>
      </w:r>
    </w:p>
    <w:p>
      <w:r>
        <w:rPr>
          <w:b w:val="0"/>
          <w:sz w:val="20"/>
        </w:rPr>
        <w:t>Customer Profile (the buyer's world)</w:t>
        <w:br/>
        <w:t>- Jobs-to-be-Done:</w:t>
        <w:br/>
        <w:t xml:space="preserve">  - J1: Deliver differentiated BCS survivorship care that protects retention/NPS vs SNS, on a fixed FTE budget, while meeting accreditation/quality reporting obligations.</w:t>
        <w:br/>
        <w:t xml:space="preserve">  - J2: Surface and intervene on between-consultation deterioration without expanding the senology team or escalating to unscheduled care.</w:t>
        <w:br/>
        <w:t>- Pains (each tied to a number):</w:t>
        <w:br/>
        <w:t xml:space="preserve">  - P1: &lt;20% of their BCS receive formal psych support today (EV-016) → an undetected affective relapse becomes a churned patient + complaint, directly visible in NPS and quality reporting.</w:t>
        <w:br/>
        <w:t xml:space="preserve">  - P2: A psycho-oncologist FTE costs ~EUR 60–80K/yr — not approvable in current budget envelope, yet 30–40% of BCS have clinical anxiety/depression (EV-019).</w:t>
        <w:br/>
        <w:t xml:space="preserve">  - P3: Clinician burden / alert overload — senology team has no headroom for unbounded alerts; iNNOVSensing baseline consent at only 34% (EV-041) shows current tooling does not earn its keep.</w:t>
        <w:br/>
        <w:t>- Gains (measurable, role-specific):</w:t>
        <w:br/>
        <w:t xml:space="preserve">  - G1: NPS / accreditation-visible survivorship metric the head can put in the quality report (alerts caught, time-to-intervention, PHQ-9/GAD-7 trajectory).</w:t>
        <w:br/>
        <w:t xml:space="preserve">  - G2: Earlier detection of affective relapse → fewer unscheduled encounters and fewer downstream complaints.</w:t>
        <w:br/>
        <w:t xml:space="preserve">  - G3: A second revenue/data line (pharma research-services BT-02, EU grant co-applicant BT-04) running on top of the same deployment, at zero marginal effort to the buyer's team.</w:t>
      </w:r>
    </w:p>
    <w:p>
      <w:r>
        <w:rPr>
          <w:b w:val="0"/>
          <w:sz w:val="20"/>
        </w:rPr>
        <w:t>Value Map (what we offer)</w:t>
        <w:br/>
        <w:t>- Products &amp; Services (buyer-facing, not the patient app):</w:t>
        <w:br/>
        <w:t xml:space="preserve">  - PS1: Senology-team dashboard with prioritised alerts, PHQ-9/GAD-7 trajectories, and quality-report-ready exports.</w:t>
        <w:br/>
        <w:t xml:space="preserve">  - PS2: JITAI sensing + EMA layer running on the BCS patient app, configured for the months-0–24 follow-up pathway.</w:t>
        <w:br/>
        <w:t xml:space="preserve">  - PS3: GDPR DPIA + Class I self-certification pack, hospital-DPO co-signed, and a referral-pathway SOP integrated into the senology consultation workflow.</w:t>
        <w:br/>
        <w:t>- Pain Relievers (1:1 mapping to Pains):</w:t>
        <w:br/>
        <w:t xml:space="preserve">  - PR1 → P1: Closes the &lt;20% psych-support gap (EV-016) by turning the BCS app into a continuously-monitored survivorship channel; missed affective relapses become a measured, reported number.</w:t>
        <w:br/>
        <w:t xml:space="preserve">  - PR2 → P2: SaaS at EUR 800–1500/hospital/month (EV-084) ≈ EUR 10–18K/yr — ~5× cheaper than a psycho-oncologist FTE, on opex not headcount.</w:t>
        <w:br/>
        <w:t xml:space="preserve">  - PR3 → P3: Alert volume bounded and contracted as a pilot success criterion (≤X alerts/clinician/week, see PoV demands above); referral-pathway integration (Limbic-style, EV-026) prevents free-rider adoption.</w:t>
        <w:br/>
        <w:t>- Gain Creators (1:1 mapping to Gains):</w:t>
        <w:br/>
        <w:t xml:space="preserve">  - GC1 → G1: Quality-report-ready dashboard exports (PS1) directly populate the head's accreditation/NPS narrative.</w:t>
        <w:br/>
        <w:t xml:space="preserve">  - GC2 → G2: AUC 0.78 BCS-specific detection (EV-043) on between-consultation signals → earlier intervention, fewer escalations.</w:t>
        <w:br/>
        <w:t xml:space="preserve">  - GC3 → G3: Same deployment is the reference site for pharma research-services contracts (BT-02, EUR 100–300K/study) and EU grant consortia (BT-04) — the buyer becomes the academic anchor without extra effort.</w:t>
      </w:r>
    </w:p>
    <w:p>
      <w:r>
        <w:rPr>
          <w:b w:val="0"/>
          <w:sz w:val="20"/>
        </w:rPr>
        <w:t>VPC mapping is complete: every Pain has a Pain Reliever and every Gain has a Gain Creator. See Open Issues for items where a reliever exists but its magnitude is unproven.</w:t>
      </w:r>
    </w:p>
    <w:p>
      <w:r>
        <w:rPr>
          <w:b/>
          <w:sz w:val="22"/>
        </w:rPr>
        <w:t>Open Issues</w:t>
        <w:br/>
        <w:t>- **PR3 magnitude unproven**: the upper bound of "alerts/clinician/week the senology team can absorb" is not quantified (problem.md v2 open issue 3) — the PoV must produce this number or PR3 is aspirational.</w:t>
        <w:br/>
        <w:t>- **PR2 conversion unproven**: no signed LOI from CUF/Lusiadas/Luz; the EUR 800–1500/mo price is anchored on EV-084/EV-083, not on a buyer signature.</w:t>
        <w:br/>
        <w:t>- **GC2 generalisation**: PerSense AUC 0.78 (EV-043, internal_only, N=126) replication on a fresh PT cohort is the PoV's core scientific test; if it does not hold, GC2 weakens and BT-01/BT-02 inheritance is at risk.</w:t>
      </w:r>
    </w:p>
    <w:p>
      <w:r>
        <w:rPr>
          <w:b/>
          <w:sz w:val="22"/>
        </w:rPr>
        <w:t>Why this thesis over the others (selection rationale)</w:t>
        <w:br/>
        <w:t>BT-03 has the highest composite score (23) and the highest PoV alignment (5) — the existing 8–12-week PT senology pilot literally is this thesis, with no redesign required. It is also the fastest to first revenue (6 mo vs 9–30 mo for the alternatives) and capital-light (Class I, &lt;EUR 30K), while still generating the BCS clinical evidence and proprietary data asset that unlock BT-01 (DiGA) and BT-02 (pharma) on expansion — satisfying the Trojan-Horse-with-expansion test.</w:t>
      </w:r>
    </w:p>
    <w:p>
      <w:r>
        <w:rPr>
          <w:b/>
          <w:sz w:val="22"/>
        </w:rPr>
        <w:t>Alternatives kept on the bench (for the Evidence Notes appendix)</w:t>
        <w:br/>
        <w:t>- BT-01 — DiGA companion-DTx for BCS survivorship (DE → EU) — composite 16; lost on time-to-revenue (30 mo) and capex (EUR 300–700K MDR IIa) without a DE clinical partner; remains the Yr3+ expansion play.</w:t>
        <w:br/>
        <w:t>- BT-02 — Pharma companion / BCS adherence research-services — composite 19; lost on no named pharma counterparty and 6–12 mo procurement; will be layered on top of BT-03 deployments once a reference site exists.</w:t>
        <w:br/>
        <w:t>- BT-04 — IPO / public oncology + EU-funded research consortium — composite 18; lost on lumpy non-recurring revenue, ~5.9% EIC success rate (EV-063), and absent PT public-DTx reimbursement pathway; becomes a parallel non-dilutive funding line.</w:t>
        <w:br/>
        <w:t>- BT-05 — Insurer survivorship benefit (Medis / Multicare / AdvanceCare) — composite 14; lost on weakest PoV alignment (the pilot does not produce the cost-of-care delta insurers need) and slow PT insurer procurement; revisit once BT-03 generates outcome evidence.</w:t>
      </w:r>
    </w:p>
    <w:p>
      <w:r>
        <w:rPr>
          <w:b/>
          <w:sz w:val="24"/>
        </w:rPr>
        <w:t>Alternative theses considered (one-line each)</w:t>
      </w:r>
    </w:p>
    <w:p>
      <w:r>
        <w:rPr>
          <w:b w:val="0"/>
          <w:sz w:val="18"/>
        </w:rPr>
        <w:t>BT-01 — DiGA companion-DTx for BCS survivorship (DE -&gt; EU) | customer: Statutory Health Insurance funds (GKV, 73M insured) [EV-061] | time-to-revenue: 30 mo | composite: 16 | one-line: BfArM-listed adaptive DTx that detects between-consultation affective relapse in breast-cancer survivors, reimbursed per prescription by German GKV.</w:t>
      </w:r>
    </w:p>
    <w:p>
      <w:r>
        <w:rPr>
          <w:b w:val="0"/>
          <w:sz w:val="18"/>
        </w:rPr>
        <w:t>BT-02 — Pharma companion / BCS adherence research-services | customer: Oncology pharma medical-affairs / RWE / clinical-development teams (Roche, Pfizer, Novartis, AstraZeneca) | time-to-revenue: 9 mo | composite: 19 | one-line: Sell PerSense as a deployed sensing+EMA platform to oncology pharma (Roche/Pfizer/Novartis/AstraZeneca) for adjuvant-therapy adherence and PRO-collection in BCS post-treatment cohorts.</w:t>
      </w:r>
    </w:p>
    <w:p>
      <w:r>
        <w:rPr>
          <w:b w:val="0"/>
          <w:sz w:val="18"/>
        </w:rPr>
        <w:t>BT-04 — IPO / public oncology + EU-funded research consortium | customer: IPO institutions and university hospitals as research-grant co-applicants; ultimate funder = COMPETE 2030 / EIC / FCT | time-to-revenue: 12 mo | composite: 18 | one-line: Deploy PerSense in PT public oncology (IPO Lisboa/Porto/Coimbra) under EU/PT non-dilutive funding (COMPETE 2030, EIC Transition, PRR) as a research-anchored revenue line.</w:t>
      </w:r>
    </w:p>
    <w:p>
      <w:r>
        <w:rPr>
          <w:b w:val="0"/>
          <w:sz w:val="18"/>
        </w:rPr>
        <w:t>BT-05 — Insurer survivorship benefit (Medis Oncologia / Multicare / AdvanceCare) | customer: PT private health insurers: Medis (Ageas), Multicare (Fidelidade), AdvanceCare | time-to-revenue: 15 mo | composite: 14 | one-line: PT private health insurer adds PerSense as a covered benefit inside oncology / survivorship plans, paying per-active-life to reduce escalation cost in BCS post-treatment.</w:t>
      </w:r>
    </w:p>
    <w:p>
      <w:r>
        <w:rPr>
          <w:b/>
          <w:sz w:val="24"/>
        </w:rPr>
        <w:t>Top-5 partner first-contacts (BCS+BT-03)</w:t>
      </w:r>
    </w:p>
    <w:p>
      <w:r>
        <w:rPr>
          <w:b w:val="0"/>
          <w:sz w:val="18"/>
        </w:rPr>
        <w:t>1. PA-001 CUF Senologia (Descobertas / Tejo) — CUF Centros de Senologia — ask: LOI to host 8–12-wk PoV at one site, ≥30 BCS, DPIA co-signed — channel: Warm intro via iNNOVSensing collaborators → CUF Oncologia direction — time-to-LOI: ~6 wk — this-week: Identify head of CUF Senologia; send 1-page buyer brief framing &lt;20% gap as NPS risk</w:t>
      </w:r>
    </w:p>
    <w:p>
      <w:r>
        <w:rPr>
          <w:b w:val="0"/>
          <w:sz w:val="18"/>
        </w:rPr>
        <w:t>2. PA-002 Lusíadas Centro Mama — Lusíadas Centro Mama — ask: LOI to co-host PoV; intro to medical direction; DPO time — channel: Direct email to clinical lead + SPS warm intro — time-to-LOI: ~8 wk — this-week: Cold-email Centro Mama clinical lead; ask for 30-min intro call (not a pitch)</w:t>
      </w:r>
    </w:p>
    <w:p>
      <w:r>
        <w:rPr>
          <w:b w:val="0"/>
          <w:sz w:val="18"/>
        </w:rPr>
        <w:t>3. PA-003 Hospital da Luz Centro Clínico da Mama — Centro Clínico da Mama — ask: LOI for PoV; intro to Luz Saúde innovation + Fidelidade — channel: Luz Saúde innovation team + clinical director — time-to-LOI: ~8 wk — this-week: Scan Luz/Fidelidade press for any 2024–2026 digital-health pilot before cold contact</w:t>
      </w:r>
    </w:p>
    <w:p>
      <w:r>
        <w:rPr>
          <w:b w:val="0"/>
          <w:sz w:val="18"/>
        </w:rPr>
        <w:t>4. PA-004 Sociedade Portuguesa de Senologia (SPS) — Congresso + WG psico-oncologia — ask: Endorsement + intros to CUF/Lusíadas/Luz senology heads + congress slot — channel: SPS board email + member warm intro — time-to-LOI: ~4 wk — this-week: Pull current SPS board; email president + WG lead; ask for 20-min call</w:t>
      </w:r>
    </w:p>
    <w:p>
      <w:r>
        <w:rPr>
          <w:b w:val="0"/>
          <w:sz w:val="18"/>
        </w:rPr>
        <w:t>5. PA-005 IPO Lisboa Psico-Oncologia — Serviço de Psico-Oncologia + Programa de Sobrevivência — ask: Backup PoV-site LOI if private stalls by wk 4; ethics fast-track — channel: iNNOVSensing academic network → IPO Psico-Oncologia — time-to-LOI: ~10 wk — this-week: Identify head of IPO Psico-Oncologia; ask about ethics-committee timelines so wk-4 decision is informed</w:t>
      </w:r>
    </w:p>
    <w:p>
      <w:r>
        <w:rPr>
          <w:b/>
          <w:sz w:val="24"/>
        </w:rPr>
        <w:t>Per-EV provenance (EV-IDs cited on slides)</w:t>
      </w:r>
    </w:p>
    <w:p>
      <w:r>
        <w:rPr>
          <w:b/>
          <w:sz w:val="20"/>
        </w:rPr>
        <w:t>EV-016</w:t>
      </w:r>
    </w:p>
    <w:p>
      <w:r>
        <w:rPr>
          <w:b w:val="0"/>
          <w:sz w:val="18"/>
        </w:rPr>
        <w:t>Claim: Treatment gap em psico-oncologia: &lt;20% dos sobreviventes de cancro da mama recebem apoio psicológico formal.</w:t>
      </w:r>
    </w:p>
    <w:p>
      <w:r>
        <w:rPr>
          <w:b w:val="0"/>
          <w:sz w:val="18"/>
        </w:rPr>
        <w:t>Number: &lt;20% | Topic: access | Confidence: high | Source: relatorio_saude_mental_digital_final (3).html — Epidemiologia</w:t>
      </w:r>
    </w:p>
    <w:p>
      <w:r>
        <w:rPr>
          <w:b w:val="0"/>
          <w:sz w:val="18"/>
        </w:rPr>
        <w:t>Original: "O tratamento gap é crítico: menos de 20% recebe apoio psicológico formal, por escassez de psicooncologistas, distância geográfica, e custo."</w:t>
      </w:r>
    </w:p>
    <w:p>
      <w:r>
        <w:rPr>
          <w:b/>
          <w:sz w:val="20"/>
        </w:rPr>
        <w:t>EV-019</w:t>
      </w:r>
    </w:p>
    <w:p>
      <w:r>
        <w:rPr>
          <w:b w:val="0"/>
          <w:sz w:val="18"/>
        </w:rPr>
        <w:t>Claim: Estima-se que existam mais de 36.000 sobreviventes de cancro da mama em acompanhamento activo em Portugal; 30–40% desenvolvem ansiedade ou depressão clinicamente significativas.</w:t>
      </w:r>
    </w:p>
    <w:p>
      <w:r>
        <w:rPr>
          <w:b w:val="0"/>
          <w:sz w:val="18"/>
        </w:rPr>
        <w:t>Number: &gt;36,000 sobreviventes; 30-40% prevalência ansiedade/depressão | Topic: user_segment | Confidence: high | Source: relatorio_saude_mental_digital_final (3).html — Epidemiologia</w:t>
      </w:r>
    </w:p>
    <w:p>
      <w:r>
        <w:rPr>
          <w:b w:val="0"/>
          <w:sz w:val="18"/>
        </w:rPr>
        <w:t>Original: "Estima-se que existam mais de 36.000 sobreviventes de cancro da mama em Portugal em acompanhamento activo, com 30–40% a desenvolver ansiedade ou depressão clinicamente significativas"</w:t>
      </w:r>
    </w:p>
    <w:p>
      <w:r>
        <w:rPr>
          <w:b/>
          <w:sz w:val="20"/>
        </w:rPr>
        <w:t>EV-020</w:t>
      </w:r>
    </w:p>
    <w:p>
      <w:r>
        <w:rPr>
          <w:b w:val="0"/>
          <w:sz w:val="18"/>
        </w:rPr>
        <w:t>Claim: População alvo BCS: ~750K sobreviventes na UE, 36K em Portugal.</w:t>
      </w:r>
    </w:p>
    <w:p>
      <w:r>
        <w:rPr>
          <w:b w:val="0"/>
          <w:sz w:val="18"/>
        </w:rPr>
        <w:t>Number: ~750K UE; 36K PT | Topic: user_segment | Confidence: high | Source: relatorio_saude_mental_digital_final (3).html — Cinco populações — análise de mercado, evidência e posição competitiva</w:t>
      </w:r>
    </w:p>
    <w:p>
      <w:r>
        <w:rPr>
          <w:b w:val="0"/>
          <w:sz w:val="18"/>
        </w:rPr>
        <w:t>Original: "~750K BCS EU, 36K PT."</w:t>
      </w:r>
    </w:p>
    <w:p>
      <w:r>
        <w:rPr>
          <w:b/>
          <w:sz w:val="20"/>
        </w:rPr>
        <w:t>EV-023</w:t>
      </w:r>
    </w:p>
    <w:p>
      <w:r>
        <w:rPr>
          <w:b w:val="0"/>
          <w:sz w:val="18"/>
        </w:rPr>
        <w:t>Claim: Meta-análise 2025 (N=19.233, 139 RCTs): mHealth reduz ansiedade (SMD=-0.68) e depressão (SMD=-0.49).</w:t>
      </w:r>
    </w:p>
    <w:p>
      <w:r>
        <w:rPr>
          <w:b w:val="0"/>
          <w:sz w:val="18"/>
        </w:rPr>
        <w:t>Number: SMD -0.68 ansiedade; -0.49 depressão; N=19233; 139 RCTs | Topic: digital_health | Confidence: high | Source: relatorio_saude_mental_digital_final (3).html — Cinco populações — análise de mercado, evidência e posição competitiva</w:t>
      </w:r>
    </w:p>
    <w:p>
      <w:r>
        <w:rPr>
          <w:b w:val="0"/>
          <w:sz w:val="18"/>
        </w:rPr>
        <w:t>Original: "Meta-análise 2025 (N=19.233, 139 RCTs): mHealth reduz ansiedade (SMD=-0.68) e depressão (SMD=-0.49)."</w:t>
      </w:r>
    </w:p>
    <w:p>
      <w:r>
        <w:rPr>
          <w:b/>
          <w:sz w:val="20"/>
        </w:rPr>
        <w:t>EV-026</w:t>
      </w:r>
    </w:p>
    <w:p>
      <w:r>
        <w:rPr>
          <w:b w:val="0"/>
          <w:sz w:val="18"/>
        </w:rPr>
        <w:t>Claim: Limbic AI atinge 33% dos referenciamentos NHS (modelo de integração mediado).</w:t>
      </w:r>
    </w:p>
    <w:p>
      <w:r>
        <w:rPr>
          <w:b w:val="0"/>
          <w:sz w:val="18"/>
        </w:rPr>
        <w:t>Number: 33% | Topic: digital_health | Confidence: high | Source: relatorio_saude_mental_digital_final (3).html — Desafio 1 — Baixas taxas de consentimento</w:t>
      </w:r>
    </w:p>
    <w:p>
      <w:r>
        <w:rPr>
          <w:b w:val="0"/>
          <w:sz w:val="18"/>
        </w:rPr>
        <w:t>Original: "Limbic AI: integração no referral pathway NHS aumentou adoption para 33% de todos os referenciamentos."</w:t>
      </w:r>
    </w:p>
    <w:p>
      <w:r>
        <w:rPr>
          <w:b/>
          <w:sz w:val="20"/>
        </w:rPr>
        <w:t>EV-038</w:t>
      </w:r>
    </w:p>
    <w:p>
      <w:r>
        <w:rPr>
          <w:b w:val="0"/>
          <w:sz w:val="18"/>
        </w:rPr>
        <w:t>Claim: mindLAMP deployment: Docker auto-hospedável em Hetzner (DE, GDPR), €30–50/mês.</w:t>
      </w:r>
    </w:p>
    <w:p>
      <w:r>
        <w:rPr>
          <w:b w:val="0"/>
          <w:sz w:val="18"/>
        </w:rPr>
        <w:t>Number: €30-50/mês | Topic: platform | Confidence: high | Source: relatorio_saude_mental_digital_final (3).html — Análise comparativa das seis plataformas OSS relevantes</w:t>
      </w:r>
    </w:p>
    <w:p>
      <w:r>
        <w:rPr>
          <w:b w:val="0"/>
          <w:sz w:val="18"/>
        </w:rPr>
        <w:t>Original: "Deployment: Docker, auto-hospedável em Hetzner (DE, GDPR), €30-50/mês."</w:t>
      </w:r>
    </w:p>
    <w:p>
      <w:r>
        <w:rPr>
          <w:b/>
          <w:sz w:val="20"/>
        </w:rPr>
        <w:t>EV-039</w:t>
      </w:r>
    </w:p>
    <w:p>
      <w:r>
        <w:rPr>
          <w:b w:val="0"/>
          <w:sz w:val="18"/>
        </w:rPr>
        <w:t>Claim: iOS restringe background sensing — cobertura de sensores 40–50% do que Android fornece.</w:t>
      </w:r>
    </w:p>
    <w:p>
      <w:r>
        <w:rPr>
          <w:b w:val="0"/>
          <w:sz w:val="18"/>
        </w:rPr>
        <w:t>Number: 40-50% | Topic: platform | Confidence: medium | Source: oss_platform_analysis.html — As seis plataformas open-source</w:t>
      </w:r>
    </w:p>
    <w:p>
      <w:r>
        <w:rPr>
          <w:b w:val="0"/>
          <w:sz w:val="18"/>
        </w:rPr>
        <w:t>Original: "iOS restringe background sensing — cobertura de sensores 40-50% do que Android fornece."</w:t>
      </w:r>
    </w:p>
    <w:p>
      <w:r>
        <w:rPr>
          <w:b/>
          <w:sz w:val="20"/>
        </w:rPr>
        <w:t>EV-040</w:t>
      </w:r>
    </w:p>
    <w:p>
      <w:r>
        <w:rPr>
          <w:b w:val="0"/>
          <w:sz w:val="18"/>
        </w:rPr>
        <w:t>Claim: Beiwe: compliance 43% EMA + 43% JITAI reportada na literatura.</w:t>
      </w:r>
    </w:p>
    <w:p>
      <w:r>
        <w:rPr>
          <w:b w:val="0"/>
          <w:sz w:val="18"/>
        </w:rPr>
        <w:t>Number: 43% EMA; 43% JITAI | Topic: platform | Confidence: medium | Source: oss_platform_analysis.html — Papel na arquitectura PerSense</w:t>
      </w:r>
    </w:p>
    <w:p>
      <w:r>
        <w:rPr>
          <w:b w:val="0"/>
          <w:sz w:val="18"/>
        </w:rPr>
        <w:t>Original: "Compliance de 43% EMA + 43% JITAI reportada."</w:t>
      </w:r>
    </w:p>
    <w:p>
      <w:r>
        <w:rPr>
          <w:b/>
          <w:sz w:val="20"/>
        </w:rPr>
        <w:t>EV-043</w:t>
      </w:r>
    </w:p>
    <w:p>
      <w:r>
        <w:rPr>
          <w:b w:val="0"/>
          <w:sz w:val="18"/>
        </w:rPr>
        <w:t>Claim: ML PerSense: AUC 0,78 para depressão em BCS, validado em N=126 pacientes em 2 hospitais.</w:t>
      </w:r>
    </w:p>
    <w:p>
      <w:r>
        <w:rPr>
          <w:b w:val="0"/>
          <w:sz w:val="18"/>
        </w:rPr>
        <w:t>Number: AUC 0.78; N=126 | Topic: pilot_metric | Confidence: high | Source: relatorio_estrategico_master_persense.html — Síntese final — o argumento de investimento</w:t>
      </w:r>
    </w:p>
    <w:p>
      <w:r>
        <w:rPr>
          <w:b w:val="0"/>
          <w:sz w:val="18"/>
        </w:rPr>
        <w:t>Original: "o único produto europeu de DP adaptativo para saúde mental em BCS, com dados reais de N=126 pacientes e ML validado em dois hospitais (AUC 0.78 depressão)."</w:t>
      </w:r>
    </w:p>
    <w:p>
      <w:r>
        <w:rPr>
          <w:b/>
          <w:sz w:val="20"/>
        </w:rPr>
        <w:t>EV-046</w:t>
      </w:r>
    </w:p>
    <w:p>
      <w:r>
        <w:rPr>
          <w:b w:val="0"/>
          <w:sz w:val="18"/>
        </w:rPr>
        <w:t>Claim: Custo total do piloto PoV proposto: €5–10K (developer 30h €3–6K + infra mindLAMP €120 + 10 Fitbits €2–3K).</w:t>
      </w:r>
    </w:p>
    <w:p>
      <w:r>
        <w:rPr>
          <w:b w:val="0"/>
          <w:sz w:val="18"/>
        </w:rPr>
        <w:t>Number: €5-10K | Topic: pilot_metric | Confidence: high | Source: relatorio_saude_mental_digital_final (3).html — Cronograma do piloto PoV</w:t>
      </w:r>
    </w:p>
    <w:p>
      <w:r>
        <w:rPr>
          <w:b w:val="0"/>
          <w:sz w:val="18"/>
        </w:rPr>
        <w:t>Original: "Developer time (30h): €3–6K. Infraestrutura (mindLAMP Hetzner 3 meses): €120. Fitbits para sensing (10 unidades, reutilizáveis): €2–3K. Total: €5–10K."</w:t>
      </w:r>
    </w:p>
    <w:p>
      <w:r>
        <w:rPr>
          <w:b/>
          <w:sz w:val="20"/>
        </w:rPr>
        <w:t>EV-047</w:t>
      </w:r>
    </w:p>
    <w:p>
      <w:r>
        <w:rPr>
          <w:b w:val="0"/>
          <w:sz w:val="18"/>
        </w:rPr>
        <w:t>Claim: Métricas de sucesso PoV: ≥2 terapeutas/hospitais pagariam ≥€200/mês; ≥70% dados em ≥80% participantes; ≥50% pacientes elegíveis abordados.</w:t>
      </w:r>
    </w:p>
    <w:p>
      <w:r>
        <w:rPr>
          <w:b w:val="0"/>
          <w:sz w:val="18"/>
        </w:rPr>
        <w:t>Number: &gt;=2 buyers @ €200/mês; &gt;=70% data; &gt;=50% approached | Topic: pilot_metric | Confidence: high | Source: relatorio_saude_mental_digital_final (3).html — Métricas de sucesso do PoV</w:t>
      </w:r>
    </w:p>
    <w:p>
      <w:r>
        <w:rPr>
          <w:b w:val="0"/>
          <w:sz w:val="18"/>
        </w:rPr>
        <w:t>Original: "≥2 terapeutas/hospitais afirmam que pagariam ≥€200/mês pelo produto. ≥70% dados esperados recolhidos em ≥80% dos participantes. ≥50% pacientes elegíveis abordados."</w:t>
      </w:r>
    </w:p>
    <w:p>
      <w:r>
        <w:rPr>
          <w:b/>
          <w:sz w:val="20"/>
        </w:rPr>
        <w:t>EV-048</w:t>
      </w:r>
    </w:p>
    <w:p>
      <w:r>
        <w:rPr>
          <w:b w:val="0"/>
          <w:sz w:val="18"/>
        </w:rPr>
        <w:t>Claim: iNNOVSensing custou €120K para produzir dados equivalentes em valor estratégico ao piloto PoV proposto.</w:t>
      </w:r>
    </w:p>
    <w:p>
      <w:r>
        <w:rPr>
          <w:b w:val="0"/>
          <w:sz w:val="18"/>
        </w:rPr>
        <w:t>Number: €120K | Topic: pilot_metric | Confidence: medium | Source: relatorio_saude_mental_digital_final (3).html — Cronograma do piloto PoV</w:t>
      </w:r>
    </w:p>
    <w:p>
      <w:r>
        <w:rPr>
          <w:b w:val="0"/>
          <w:sz w:val="18"/>
        </w:rPr>
        <w:t>Original: "Por comparação, o iNNOVSensing custou €120K para produzir dados equivalentes em termos de valor estratégico para a startup."</w:t>
      </w:r>
    </w:p>
    <w:p>
      <w:r>
        <w:rPr>
          <w:b/>
          <w:sz w:val="20"/>
        </w:rPr>
        <w:t>EV-060</w:t>
      </w:r>
    </w:p>
    <w:p>
      <w:r>
        <w:rPr>
          <w:b w:val="0"/>
          <w:sz w:val="18"/>
        </w:rPr>
        <w:t>Claim: Reembolso DiGA pago por GKV: €200–600/paciente/ano.</w:t>
      </w:r>
    </w:p>
    <w:p>
      <w:r>
        <w:rPr>
          <w:b w:val="0"/>
          <w:sz w:val="18"/>
        </w:rPr>
        <w:t>Number: €200-600/paciente/ano | Topic: cost | Confidence: high | Source: relatorio_saude_mental_digital_final (3).html — Modelos de Desenvolvimento: DiGA</w:t>
      </w:r>
    </w:p>
    <w:p>
      <w:r>
        <w:rPr>
          <w:b w:val="0"/>
          <w:sz w:val="18"/>
        </w:rPr>
        <w:t>Original: "reembolso automático pós-aprovação (€200–600/paciente/ano directo das GKV)."</w:t>
      </w:r>
    </w:p>
    <w:p>
      <w:r>
        <w:rPr>
          <w:b/>
          <w:sz w:val="20"/>
        </w:rPr>
        <w:t>EV-062</w:t>
      </w:r>
    </w:p>
    <w:p>
      <w:r>
        <w:rPr>
          <w:b w:val="0"/>
          <w:sz w:val="18"/>
        </w:rPr>
        <w:t>Claim: GDPR: multa activa de €2,3M aplicada a desenvolvedor de mental health app na Irlanda.</w:t>
      </w:r>
    </w:p>
    <w:p>
      <w:r>
        <w:rPr>
          <w:b w:val="0"/>
          <w:sz w:val="18"/>
        </w:rPr>
        <w:t>Number: €2.3M | Topic: cost | Confidence: high | Source: relatorio_saude_mental_digital_final (3).html — Os quatro pilares regulatórios</w:t>
      </w:r>
    </w:p>
    <w:p>
      <w:r>
        <w:rPr>
          <w:b w:val="0"/>
          <w:sz w:val="18"/>
        </w:rPr>
        <w:t>Original: "Fines activos (€2,3M a desenvolvedor de mental health app em Irlanda)."</w:t>
      </w:r>
    </w:p>
    <w:p>
      <w:r>
        <w:rPr>
          <w:b/>
          <w:sz w:val="24"/>
        </w:rPr>
        <w:t>Open Issues / Não Resolvido (aggregated)</w:t>
      </w:r>
    </w:p>
    <w:p>
      <w:r>
        <w:rPr>
          <w:b/>
          <w:sz w:val="20"/>
        </w:rPr>
        <w:t>From problem.md:</w:t>
      </w:r>
    </w:p>
    <w:p>
      <w:r>
        <w:rPr>
          <w:b w:val="0"/>
          <w:sz w:val="18"/>
        </w:rPr>
        <w:t>• **Generalização da AUC 0.78** — modelo treinado em 2 hospitais com N=126; sem validação out-of-sample em coorte independente. Risco: o sinal preditivo não replica fora do iNNOVSensing. Próximo passo: piloto PoV deve incluir hold-out externo ou hospital novo.</w:t>
      </w:r>
    </w:p>
    <w:p>
      <w:r>
        <w:rPr>
          <w:b w:val="0"/>
          <w:sz w:val="18"/>
        </w:rPr>
        <w:t>• **Aceitação BCS no mundo real (consent 34%, screen-fail 52.7%)** — internamente conhecido, externamente invisível. Não sabemos se variação de protocolo (onboarding hospitalar mediado, redução de wearables, EMA mais curta) move o consent para ≥50%. É a primeira coisa que o piloto tem de testar.</w:t>
      </w:r>
    </w:p>
    <w:p>
      <w:r>
        <w:rPr>
          <w:b w:val="0"/>
          <w:sz w:val="18"/>
        </w:rPr>
        <w:t>• **Carga clínica para a equipa hospitalar** — não medida. Quantos alertas/semana a equipa de senologia consegue triar sem perda de qualidade? Sem este número, o buyer story colapsa.</w:t>
      </w:r>
    </w:p>
    <w:p>
      <w:r>
        <w:rPr>
          <w:b w:val="0"/>
          <w:sz w:val="18"/>
        </w:rPr>
        <w:t>• **Definição operacional de "contacto útil"** — "dias até contacto" precisa de operacionalização (telefonema clínico vs consulta presencial vs mensagem segura via app). A definir antes do piloto.</w:t>
      </w:r>
    </w:p>
    <w:p>
      <w:r>
        <w:rPr>
          <w:b w:val="0"/>
          <w:sz w:val="18"/>
        </w:rPr>
        <w:t>• **EV-019 vs EV-016 sobreposição** — o "30–40% desenvolvem" e o "&lt;20% recebem apoio" combinam-se para uma "treatment gap" implícita; a forma exata da gap (% de mulheres com ansiedade/depressão clínica que NÃO recebem apoio) não é uma estatística citada diretamente, é uma inferência. Surface-level honesto: surfaced here, not silenced.</w:t>
      </w:r>
    </w:p>
    <w:p>
      <w:r>
        <w:rPr>
          <w:b w:val="0"/>
          <w:sz w:val="18"/>
        </w:rPr>
        <w:t>• **iOS sensing penalty** — se o piloto usa Beiwe/mindLAMP, a cobertura de sensores em iOS é 40–50% da de Android [EV-039]. Pode enviesar quem entra no piloto. Mitigação: documentar mix iOS/Android nos resultados. ---</w:t>
      </w:r>
    </w:p>
    <w:p>
      <w:r>
        <w:rPr>
          <w:b/>
          <w:sz w:val="20"/>
        </w:rPr>
        <w:t>From value.md:</w:t>
      </w:r>
    </w:p>
    <w:p>
      <w:r>
        <w:rPr>
          <w:b w:val="0"/>
          <w:sz w:val="18"/>
        </w:rPr>
        <w:t>• **Replicação out-of-sample da AUC 0.78 [EV-043, internal_only]** — modelo treinado em 2 hospitais; sem hold-out PT independente. Se não replicar a ≥0.72, a métrica principal colapsa parcialmente (delta PHQ-9/GAD-7 ainda pode existir, mas o "detection moat" cai). Esta é a aposta científica central do piloto.</w:t>
      </w:r>
    </w:p>
    <w:p>
      <w:r>
        <w:rPr>
          <w:b w:val="0"/>
          <w:sz w:val="18"/>
        </w:rPr>
        <w:t>• **Bound numérico de "alertas/clínico/semana absorvíveis" não negociado** — o teto de 2/semana é proposto pela tese mas não tem assinatura da equipa de senologia. Sem confirmação por escrito antes do kickoff, o suporte 1 fica indefenido.</w:t>
      </w:r>
    </w:p>
    <w:p>
      <w:r>
        <w:rPr>
          <w:b w:val="0"/>
          <w:sz w:val="18"/>
        </w:rPr>
        <w:t>• **Conversão LOI sem âncora hospitalar pré-existente** — não há LOI assinado de CUF/Lusíadas/Luz Saúde. €200/mês é threshold mínimo [EV-047]; o pricing-alvo BT-03 (€800–1500/mês) só se valida após o piloto. Risco: se 0–1 LOI assinado até semana 12, o suporte 2 falha e BT-03 colapsa — fallback é BT-04 (consórcio EU) com tempo de revenue muito maior.</w:t>
      </w:r>
    </w:p>
    <w:p>
      <w:r>
        <w:rPr>
          <w:b w:val="0"/>
          <w:sz w:val="18"/>
        </w:rPr>
        <w:t>• **iOS sensing penalty** — cobertura sensores iOS 40–50% vs Android [EV-039] pode enviesar a coorte com replicação AUC. Mitigação: report do mix iOS/Android e estratificação dos resultados.</w:t>
      </w:r>
    </w:p>
    <w:p>
      <w:r>
        <w:rPr>
          <w:b w:val="0"/>
          <w:sz w:val="18"/>
        </w:rPr>
        <w:t>• **EMA compliance baseline 43% [EV-040]** — se replicar Beiwe, metade das BCS não responde aos EMA; precisão/recall medidos só sobre os respondentes pode inflacionar artificialmente os números. Mitigação: report explícito de denominator (intent-to-treat vs respondent-only). ---</w:t>
      </w:r>
    </w:p>
    <w:p>
      <w:r>
        <w:rPr>
          <w:b/>
          <w:sz w:val="20"/>
        </w:rPr>
        <w:t>From pilot.md:</w:t>
      </w:r>
    </w:p>
    <w:p>
      <w:r>
        <w:rPr>
          <w:b w:val="0"/>
          <w:sz w:val="18"/>
        </w:rPr>
        <w:t>• **Bound de alertas/clínico/semana ainda não assinado pela equipa de senologia** — proposto a 2/semana; sem assinatura por escrito, o pressuposto 1 fica aspiracional. Resolver antes do kickoff (semana -2).</w:t>
      </w:r>
    </w:p>
    <w:p>
      <w:r>
        <w:rPr>
          <w:b w:val="0"/>
          <w:sz w:val="18"/>
        </w:rPr>
        <w:t>• **Nenhuma LOI pré-existente de CUF/Lusíadas/Luz Saúde** — pricing €200/mês é threshold mínimo [EV-047]; sem prospect concreto até semana 4, ativar IPO backup. Pressuposto 3 é a aposta comercial central.</w:t>
      </w:r>
    </w:p>
    <w:p>
      <w:r>
        <w:rPr>
          <w:b w:val="0"/>
          <w:sz w:val="18"/>
        </w:rPr>
        <w:t>• **Definição operacional de "contacto clínico útil"** — telefone clínico, mensagem segura, ou consulta antecipada? A definir no protocolo na semana -1 (herda de problem.md open issue 4).</w:t>
      </w:r>
    </w:p>
    <w:p>
      <w:r>
        <w:rPr>
          <w:b w:val="0"/>
          <w:sz w:val="18"/>
        </w:rPr>
        <w:t>• **iOS sensing penalty** [EV-039] — cobertura de sensores iOS 40–50% vs Android pode enviesar a coorte; mitigação: report estratificado iOS/Android.</w:t>
      </w:r>
    </w:p>
    <w:p>
      <w:r>
        <w:rPr>
          <w:b w:val="0"/>
          <w:sz w:val="18"/>
        </w:rPr>
        <w:t>• **EMA compliance baseline 43%** [EV-040] — denominator-risk em precisão/recall; mitigação: report intent-to-treat + respondent-only.</w:t>
      </w:r>
    </w:p>
    <w:p>
      <w:r>
        <w:rPr>
          <w:b w:val="0"/>
          <w:sz w:val="18"/>
        </w:rPr>
        <w:t>• **Hold-out design para AUC** — não decidido se random hold-out ou novo hospital (mais defensável mas mais lento). Decidir na semana -1 com biostat advisor.</w:t>
      </w:r>
    </w:p>
    <w:p>
      <w:r>
        <w:rPr>
          <w:b w:val="0"/>
          <w:sz w:val="18"/>
        </w:rPr>
        <w:t>• **Backup IPO altera modelo de revenue** (BT-04 consórcio EU vez de BT-03 SaaS) — se ativado, o piloto valida ciência mas não tese comercial; necessário gate explícito na semana 4. ---</w:t>
      </w:r>
    </w:p>
    <w:p>
      <w:r>
        <w:rPr>
          <w:b/>
          <w:sz w:val="24"/>
        </w:rPr>
        <w:t>Coverage check</w:t>
      </w:r>
    </w:p>
    <w:p>
      <w:r>
        <w:rPr>
          <w:b w:val="0"/>
          <w:sz w:val="18"/>
        </w:rPr>
        <w:t>EV-IDs cited in deck: 14 — EV-016, EV-019, EV-020, EV-023, EV-026, EV-038, EV-039, EV-040, EV-043, EV-046, EV-047, EV-048, EV-060, EV-062</w:t>
      </w:r>
    </w:p>
    <w:p>
      <w:r>
        <w:rPr>
          <w:b w:val="0"/>
          <w:sz w:val="18"/>
        </w:rPr>
        <w:t>EV-IDs documented in this notes file: 14 — EV-016, EV-019, EV-020, EV-023, EV-026, EV-038, EV-039, EV-040, EV-043, EV-046, EV-047, EV-048, EV-060, EV-062</w:t>
      </w:r>
    </w:p>
    <w:p>
      <w:r>
        <w:rPr>
          <w:b/>
          <w:sz w:val="24"/>
        </w:rPr>
        <w:t>Sources scanned (internal dossier)</w:t>
      </w:r>
    </w:p>
    <w:p>
      <w:r>
        <w:rPr>
          <w:b w:val="0"/>
          <w:sz w:val="18"/>
        </w:rPr>
        <w:t>• Big Impact - Problem Definition Case Challenge.pdf</w:t>
      </w:r>
    </w:p>
    <w:p>
      <w:r>
        <w:rPr>
          <w:b w:val="0"/>
          <w:sz w:val="18"/>
        </w:rPr>
        <w:t>• oss_platform_analysis.html</w:t>
      </w:r>
    </w:p>
    <w:p>
      <w:r>
        <w:rPr>
          <w:b w:val="0"/>
          <w:sz w:val="18"/>
        </w:rPr>
        <w:t>• relatorio_estrategico_master_persense.html</w:t>
      </w:r>
    </w:p>
    <w:p>
      <w:r>
        <w:rPr>
          <w:b w:val="0"/>
          <w:sz w:val="18"/>
        </w:rPr>
        <w:t>• relatorio_saude_mental_digital_final (3).html</w:t>
      </w:r>
    </w:p>
    <w:p>
      <w:r>
        <w:rPr>
          <w:b w:val="0"/>
          <w:sz w:val="18"/>
        </w:rPr>
        <w:t>• relatorio_saude_mental_digital_v2.html</w:t>
      </w:r>
    </w:p>
    <w:sectPr w:rsidR="00F75052" w:rsidRPr="00F82DA5" w:rsidSect="00F75052">
      <w:headerReference w:type="default" r:id="rId10"/>
      <w:footerReference w:type="default" r:id="rId11"/>
      <w:pgSz w:w="11909" w:h="16834"/>
      <w:pgMar w:top="1440" w:right="1440" w:bottom="1440" w:left="1440" w:header="397" w:footer="39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1B15B" w14:textId="77777777" w:rsidR="009673B9" w:rsidRDefault="009673B9" w:rsidP="009B712F">
      <w:pPr>
        <w:spacing w:line="240" w:lineRule="auto"/>
      </w:pPr>
      <w:r>
        <w:separator/>
      </w:r>
    </w:p>
  </w:endnote>
  <w:endnote w:type="continuationSeparator" w:id="0">
    <w:p w14:paraId="730A9BD2" w14:textId="77777777" w:rsidR="009673B9" w:rsidRDefault="009673B9" w:rsidP="009B71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03D39" w14:textId="77777777" w:rsidR="008308E9" w:rsidRDefault="00601C7E">
    <w:pPr>
      <w:pStyle w:val="Rodap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969C5D7" wp14:editId="59D78B7E">
          <wp:simplePos x="0" y="0"/>
          <wp:positionH relativeFrom="column">
            <wp:posOffset>-901700</wp:posOffset>
          </wp:positionH>
          <wp:positionV relativeFrom="page">
            <wp:posOffset>9321800</wp:posOffset>
          </wp:positionV>
          <wp:extent cx="7578326" cy="1356360"/>
          <wp:effectExtent l="0" t="0" r="3810" b="2540"/>
          <wp:wrapNone/>
          <wp:docPr id="51059166" name="Picture 2" descr="A white clouds in blue sk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59166" name="Picture 2" descr="A white clouds in blue sk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82" cy="13614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CD9D8" w14:textId="77777777" w:rsidR="009673B9" w:rsidRDefault="009673B9" w:rsidP="009B712F">
      <w:pPr>
        <w:spacing w:line="240" w:lineRule="auto"/>
      </w:pPr>
      <w:r>
        <w:separator/>
      </w:r>
    </w:p>
  </w:footnote>
  <w:footnote w:type="continuationSeparator" w:id="0">
    <w:p w14:paraId="3BF8BB9C" w14:textId="77777777" w:rsidR="009673B9" w:rsidRDefault="009673B9" w:rsidP="009B71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CC1956" w14:textId="77777777" w:rsidR="009B712F" w:rsidRDefault="00601C7E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EB051C5" wp14:editId="5D3DDD90">
          <wp:simplePos x="0" y="0"/>
          <wp:positionH relativeFrom="column">
            <wp:posOffset>-901700</wp:posOffset>
          </wp:positionH>
          <wp:positionV relativeFrom="page">
            <wp:posOffset>0</wp:posOffset>
          </wp:positionV>
          <wp:extent cx="7556500" cy="1346089"/>
          <wp:effectExtent l="0" t="0" r="0" b="635"/>
          <wp:wrapNone/>
          <wp:docPr id="1630635717" name="Picture 1" descr="A white clouds in blue sk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635717" name="Picture 1" descr="A white clouds in blue sk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346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F4D7B4" w14:textId="77777777" w:rsidR="009B712F" w:rsidRDefault="009B712F">
    <w:pPr>
      <w:pStyle w:val="Cabealho"/>
    </w:pPr>
  </w:p>
  <w:p w14:paraId="5603D79A" w14:textId="77777777" w:rsidR="009B712F" w:rsidRDefault="009B71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FD6"/>
    <w:multiLevelType w:val="multilevel"/>
    <w:tmpl w:val="0DE6B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6346F5"/>
    <w:multiLevelType w:val="multilevel"/>
    <w:tmpl w:val="CCC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27F1"/>
    <w:multiLevelType w:val="multilevel"/>
    <w:tmpl w:val="18C0C19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C816F4"/>
    <w:multiLevelType w:val="multilevel"/>
    <w:tmpl w:val="9FD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756E1"/>
    <w:multiLevelType w:val="hybridMultilevel"/>
    <w:tmpl w:val="64966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C4C2F"/>
    <w:multiLevelType w:val="multilevel"/>
    <w:tmpl w:val="F922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4440E"/>
    <w:multiLevelType w:val="multilevel"/>
    <w:tmpl w:val="2FB0BBE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C6117E"/>
    <w:multiLevelType w:val="multilevel"/>
    <w:tmpl w:val="6570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481889"/>
    <w:multiLevelType w:val="hybridMultilevel"/>
    <w:tmpl w:val="F1D88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772D9"/>
    <w:multiLevelType w:val="multilevel"/>
    <w:tmpl w:val="9174A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A554F6"/>
    <w:multiLevelType w:val="hybridMultilevel"/>
    <w:tmpl w:val="6F8023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B366C"/>
    <w:multiLevelType w:val="hybridMultilevel"/>
    <w:tmpl w:val="6478A5F8"/>
    <w:lvl w:ilvl="0" w:tplc="E006DE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F64C5A"/>
    <w:multiLevelType w:val="multilevel"/>
    <w:tmpl w:val="D33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308A1"/>
    <w:multiLevelType w:val="multilevel"/>
    <w:tmpl w:val="7CA06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03E1932"/>
    <w:multiLevelType w:val="multilevel"/>
    <w:tmpl w:val="892E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90FC9"/>
    <w:multiLevelType w:val="multilevel"/>
    <w:tmpl w:val="68DA0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2A23C2"/>
    <w:multiLevelType w:val="hybridMultilevel"/>
    <w:tmpl w:val="5396F6DA"/>
    <w:lvl w:ilvl="0" w:tplc="B516C03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E0010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221275D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B4128"/>
    <w:multiLevelType w:val="multilevel"/>
    <w:tmpl w:val="C58AC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4B14EC9"/>
    <w:multiLevelType w:val="multilevel"/>
    <w:tmpl w:val="7B26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173D3"/>
    <w:multiLevelType w:val="multilevel"/>
    <w:tmpl w:val="4D5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D741A"/>
    <w:multiLevelType w:val="multilevel"/>
    <w:tmpl w:val="D52A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520818"/>
    <w:multiLevelType w:val="multilevel"/>
    <w:tmpl w:val="7854CDC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6230C4"/>
    <w:multiLevelType w:val="multilevel"/>
    <w:tmpl w:val="0A1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F2794"/>
    <w:multiLevelType w:val="multilevel"/>
    <w:tmpl w:val="1A92BCF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D37FD8"/>
    <w:multiLevelType w:val="hybridMultilevel"/>
    <w:tmpl w:val="BA28FE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94598B"/>
    <w:multiLevelType w:val="hybridMultilevel"/>
    <w:tmpl w:val="0776B9CC"/>
    <w:lvl w:ilvl="0" w:tplc="8A6E0E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737C8B"/>
    <w:multiLevelType w:val="multilevel"/>
    <w:tmpl w:val="72F495D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84A334E"/>
    <w:multiLevelType w:val="multilevel"/>
    <w:tmpl w:val="CD32885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9A94CEC"/>
    <w:multiLevelType w:val="multilevel"/>
    <w:tmpl w:val="7EB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22B56"/>
    <w:multiLevelType w:val="multilevel"/>
    <w:tmpl w:val="75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F3781"/>
    <w:multiLevelType w:val="hybridMultilevel"/>
    <w:tmpl w:val="4202D1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F84592"/>
    <w:multiLevelType w:val="multilevel"/>
    <w:tmpl w:val="669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D411E5"/>
    <w:multiLevelType w:val="multilevel"/>
    <w:tmpl w:val="5916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45995"/>
    <w:multiLevelType w:val="hybridMultilevel"/>
    <w:tmpl w:val="F1AE37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9D51DB"/>
    <w:multiLevelType w:val="multilevel"/>
    <w:tmpl w:val="141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31DD1"/>
    <w:multiLevelType w:val="multilevel"/>
    <w:tmpl w:val="41C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9014C"/>
    <w:multiLevelType w:val="multilevel"/>
    <w:tmpl w:val="DA70A7F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1F43738"/>
    <w:multiLevelType w:val="multilevel"/>
    <w:tmpl w:val="4C023B6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812033B"/>
    <w:multiLevelType w:val="hybridMultilevel"/>
    <w:tmpl w:val="3FD666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5C1296"/>
    <w:multiLevelType w:val="multilevel"/>
    <w:tmpl w:val="7F2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B5BB5"/>
    <w:multiLevelType w:val="hybridMultilevel"/>
    <w:tmpl w:val="06706F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CD0C02"/>
    <w:multiLevelType w:val="multilevel"/>
    <w:tmpl w:val="99549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20063E2"/>
    <w:multiLevelType w:val="multilevel"/>
    <w:tmpl w:val="61A2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130B3"/>
    <w:multiLevelType w:val="hybridMultilevel"/>
    <w:tmpl w:val="1DB035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496A51"/>
    <w:multiLevelType w:val="hybridMultilevel"/>
    <w:tmpl w:val="FE30F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CA0CB6"/>
    <w:multiLevelType w:val="multilevel"/>
    <w:tmpl w:val="B1E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E6C49"/>
    <w:multiLevelType w:val="multilevel"/>
    <w:tmpl w:val="ED520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C054701"/>
    <w:multiLevelType w:val="hybridMultilevel"/>
    <w:tmpl w:val="5ED692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BB7530"/>
    <w:multiLevelType w:val="multilevel"/>
    <w:tmpl w:val="1A349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26670E7"/>
    <w:multiLevelType w:val="multilevel"/>
    <w:tmpl w:val="42E25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2A74E54"/>
    <w:multiLevelType w:val="multilevel"/>
    <w:tmpl w:val="82742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4BD4218"/>
    <w:multiLevelType w:val="hybridMultilevel"/>
    <w:tmpl w:val="99327C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432712">
    <w:abstractNumId w:val="9"/>
  </w:num>
  <w:num w:numId="2" w16cid:durableId="1916741793">
    <w:abstractNumId w:val="21"/>
  </w:num>
  <w:num w:numId="3" w16cid:durableId="706683075">
    <w:abstractNumId w:val="48"/>
  </w:num>
  <w:num w:numId="4" w16cid:durableId="1511600531">
    <w:abstractNumId w:val="50"/>
  </w:num>
  <w:num w:numId="5" w16cid:durableId="1190410467">
    <w:abstractNumId w:val="37"/>
  </w:num>
  <w:num w:numId="6" w16cid:durableId="1558124199">
    <w:abstractNumId w:val="46"/>
  </w:num>
  <w:num w:numId="7" w16cid:durableId="1355765175">
    <w:abstractNumId w:val="49"/>
  </w:num>
  <w:num w:numId="8" w16cid:durableId="1347319771">
    <w:abstractNumId w:val="6"/>
  </w:num>
  <w:num w:numId="9" w16cid:durableId="516773390">
    <w:abstractNumId w:val="17"/>
  </w:num>
  <w:num w:numId="10" w16cid:durableId="100032602">
    <w:abstractNumId w:val="15"/>
  </w:num>
  <w:num w:numId="11" w16cid:durableId="2005887657">
    <w:abstractNumId w:val="0"/>
  </w:num>
  <w:num w:numId="12" w16cid:durableId="194466465">
    <w:abstractNumId w:val="26"/>
  </w:num>
  <w:num w:numId="13" w16cid:durableId="1760982403">
    <w:abstractNumId w:val="27"/>
  </w:num>
  <w:num w:numId="14" w16cid:durableId="151651181">
    <w:abstractNumId w:val="23"/>
  </w:num>
  <w:num w:numId="15" w16cid:durableId="708460782">
    <w:abstractNumId w:val="2"/>
  </w:num>
  <w:num w:numId="16" w16cid:durableId="127480192">
    <w:abstractNumId w:val="36"/>
  </w:num>
  <w:num w:numId="17" w16cid:durableId="763843142">
    <w:abstractNumId w:val="13"/>
  </w:num>
  <w:num w:numId="18" w16cid:durableId="1613051681">
    <w:abstractNumId w:val="41"/>
  </w:num>
  <w:num w:numId="19" w16cid:durableId="877669390">
    <w:abstractNumId w:val="20"/>
  </w:num>
  <w:num w:numId="20" w16cid:durableId="954285981">
    <w:abstractNumId w:val="31"/>
  </w:num>
  <w:num w:numId="21" w16cid:durableId="1243563267">
    <w:abstractNumId w:val="19"/>
  </w:num>
  <w:num w:numId="22" w16cid:durableId="1000156598">
    <w:abstractNumId w:val="32"/>
  </w:num>
  <w:num w:numId="23" w16cid:durableId="1789860549">
    <w:abstractNumId w:val="39"/>
  </w:num>
  <w:num w:numId="24" w16cid:durableId="533998799">
    <w:abstractNumId w:val="14"/>
  </w:num>
  <w:num w:numId="25" w16cid:durableId="1049115406">
    <w:abstractNumId w:val="25"/>
  </w:num>
  <w:num w:numId="26" w16cid:durableId="1676610993">
    <w:abstractNumId w:val="43"/>
  </w:num>
  <w:num w:numId="27" w16cid:durableId="2124956508">
    <w:abstractNumId w:val="11"/>
  </w:num>
  <w:num w:numId="28" w16cid:durableId="227232684">
    <w:abstractNumId w:val="33"/>
  </w:num>
  <w:num w:numId="29" w16cid:durableId="2071028632">
    <w:abstractNumId w:val="4"/>
  </w:num>
  <w:num w:numId="30" w16cid:durableId="432357851">
    <w:abstractNumId w:val="30"/>
  </w:num>
  <w:num w:numId="31" w16cid:durableId="107506478">
    <w:abstractNumId w:val="7"/>
  </w:num>
  <w:num w:numId="32" w16cid:durableId="2026441188">
    <w:abstractNumId w:val="1"/>
  </w:num>
  <w:num w:numId="33" w16cid:durableId="144668407">
    <w:abstractNumId w:val="12"/>
  </w:num>
  <w:num w:numId="34" w16cid:durableId="1140804472">
    <w:abstractNumId w:val="28"/>
  </w:num>
  <w:num w:numId="35" w16cid:durableId="715546535">
    <w:abstractNumId w:val="5"/>
  </w:num>
  <w:num w:numId="36" w16cid:durableId="1136213967">
    <w:abstractNumId w:val="35"/>
  </w:num>
  <w:num w:numId="37" w16cid:durableId="2136825138">
    <w:abstractNumId w:val="10"/>
  </w:num>
  <w:num w:numId="38" w16cid:durableId="642808810">
    <w:abstractNumId w:val="8"/>
  </w:num>
  <w:num w:numId="39" w16cid:durableId="922833094">
    <w:abstractNumId w:val="51"/>
  </w:num>
  <w:num w:numId="40" w16cid:durableId="928538879">
    <w:abstractNumId w:val="44"/>
  </w:num>
  <w:num w:numId="41" w16cid:durableId="2022778046">
    <w:abstractNumId w:val="18"/>
  </w:num>
  <w:num w:numId="42" w16cid:durableId="1726490327">
    <w:abstractNumId w:val="29"/>
  </w:num>
  <w:num w:numId="43" w16cid:durableId="863788017">
    <w:abstractNumId w:val="22"/>
  </w:num>
  <w:num w:numId="44" w16cid:durableId="1008993086">
    <w:abstractNumId w:val="45"/>
  </w:num>
  <w:num w:numId="45" w16cid:durableId="1921676147">
    <w:abstractNumId w:val="3"/>
  </w:num>
  <w:num w:numId="46" w16cid:durableId="2123038884">
    <w:abstractNumId w:val="42"/>
  </w:num>
  <w:num w:numId="47" w16cid:durableId="592712893">
    <w:abstractNumId w:val="34"/>
  </w:num>
  <w:num w:numId="48" w16cid:durableId="700663537">
    <w:abstractNumId w:val="38"/>
  </w:num>
  <w:num w:numId="49" w16cid:durableId="2101366608">
    <w:abstractNumId w:val="47"/>
  </w:num>
  <w:num w:numId="50" w16cid:durableId="1410269628">
    <w:abstractNumId w:val="24"/>
  </w:num>
  <w:num w:numId="51" w16cid:durableId="2127576366">
    <w:abstractNumId w:val="40"/>
  </w:num>
  <w:num w:numId="52" w16cid:durableId="5347372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8E2"/>
    <w:rsid w:val="00026F35"/>
    <w:rsid w:val="000F23C3"/>
    <w:rsid w:val="00124557"/>
    <w:rsid w:val="00125F1E"/>
    <w:rsid w:val="001B069E"/>
    <w:rsid w:val="001B19E1"/>
    <w:rsid w:val="001C5E02"/>
    <w:rsid w:val="001F0D37"/>
    <w:rsid w:val="00212C8C"/>
    <w:rsid w:val="00287E8B"/>
    <w:rsid w:val="002F7434"/>
    <w:rsid w:val="003F05BC"/>
    <w:rsid w:val="003F0F36"/>
    <w:rsid w:val="005A27B7"/>
    <w:rsid w:val="00601C7E"/>
    <w:rsid w:val="0072647E"/>
    <w:rsid w:val="007628F5"/>
    <w:rsid w:val="007A2F46"/>
    <w:rsid w:val="007B38E2"/>
    <w:rsid w:val="007D0351"/>
    <w:rsid w:val="008308E9"/>
    <w:rsid w:val="00833906"/>
    <w:rsid w:val="00840A58"/>
    <w:rsid w:val="008A0986"/>
    <w:rsid w:val="008C371F"/>
    <w:rsid w:val="00931ACF"/>
    <w:rsid w:val="009673B9"/>
    <w:rsid w:val="00995050"/>
    <w:rsid w:val="009B712F"/>
    <w:rsid w:val="00A47FCF"/>
    <w:rsid w:val="00AA503F"/>
    <w:rsid w:val="00AC6C89"/>
    <w:rsid w:val="00B2682B"/>
    <w:rsid w:val="00B368A1"/>
    <w:rsid w:val="00BD57CB"/>
    <w:rsid w:val="00C753FA"/>
    <w:rsid w:val="00CA7402"/>
    <w:rsid w:val="00CE2801"/>
    <w:rsid w:val="00CF4FA1"/>
    <w:rsid w:val="00D0088D"/>
    <w:rsid w:val="00D06792"/>
    <w:rsid w:val="00DB3E02"/>
    <w:rsid w:val="00DC5B6A"/>
    <w:rsid w:val="00E04720"/>
    <w:rsid w:val="00F30318"/>
    <w:rsid w:val="00F75052"/>
    <w:rsid w:val="00F82DA5"/>
    <w:rsid w:val="00FE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6AF1C"/>
  <w15:docId w15:val="{172FD8D1-BB56-E946-AA6C-C5C7AFE4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CE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Tipodeletrapredefinidodopargrafo"/>
    <w:rsid w:val="00CE2801"/>
  </w:style>
  <w:style w:type="paragraph" w:customStyle="1" w:styleId="p2">
    <w:name w:val="p2"/>
    <w:basedOn w:val="Normal"/>
    <w:rsid w:val="00CE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Tipodeletrapredefinidodopargrafo"/>
    <w:rsid w:val="00CE2801"/>
  </w:style>
  <w:style w:type="paragraph" w:customStyle="1" w:styleId="p5">
    <w:name w:val="p5"/>
    <w:basedOn w:val="Normal"/>
    <w:rsid w:val="00CE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Tipodeletrapredefinidodopargrafo"/>
    <w:rsid w:val="00CE2801"/>
  </w:style>
  <w:style w:type="paragraph" w:customStyle="1" w:styleId="p4">
    <w:name w:val="p4"/>
    <w:basedOn w:val="Normal"/>
    <w:rsid w:val="00FE0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E0E05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840A58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40A58"/>
    <w:rPr>
      <w:color w:val="605E5C"/>
      <w:shd w:val="clear" w:color="auto" w:fill="E1DFDD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BD57CB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D57CB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D57C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D57C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D57C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D57CB"/>
    <w:pPr>
      <w:spacing w:line="240" w:lineRule="auto"/>
    </w:pPr>
  </w:style>
  <w:style w:type="paragraph" w:styleId="Cabealho">
    <w:name w:val="header"/>
    <w:basedOn w:val="Normal"/>
    <w:link w:val="CabealhoCarter"/>
    <w:uiPriority w:val="99"/>
    <w:unhideWhenUsed/>
    <w:rsid w:val="009B712F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B712F"/>
  </w:style>
  <w:style w:type="paragraph" w:styleId="Rodap">
    <w:name w:val="footer"/>
    <w:basedOn w:val="Normal"/>
    <w:link w:val="RodapCarter"/>
    <w:uiPriority w:val="99"/>
    <w:unhideWhenUsed/>
    <w:rsid w:val="009B712F"/>
    <w:pPr>
      <w:tabs>
        <w:tab w:val="center" w:pos="4513"/>
        <w:tab w:val="right" w:pos="9026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B712F"/>
  </w:style>
  <w:style w:type="character" w:customStyle="1" w:styleId="Ttulo1Carter">
    <w:name w:val="Título 1 Caráter"/>
    <w:basedOn w:val="Tipodeletrapredefinidodopargrafo"/>
    <w:link w:val="Ttulo1"/>
    <w:uiPriority w:val="9"/>
    <w:rsid w:val="007B38E2"/>
    <w:rPr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B38E2"/>
    <w:rPr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B38E2"/>
    <w:rPr>
      <w:color w:val="434343"/>
      <w:sz w:val="28"/>
      <w:szCs w:val="28"/>
    </w:rPr>
  </w:style>
  <w:style w:type="paragraph" w:customStyle="1" w:styleId="p3">
    <w:name w:val="p3"/>
    <w:basedOn w:val="Normal"/>
    <w:rsid w:val="007B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7B3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12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5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2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ndrecosta/Desktop/My%20Workspace/02%20SALL/09%20BIG%20Impact/02%20Metodologia%20&amp;%20Learning%20Journey/01%20Learning%20Journey/BIG%20Impact%20-%20Problem%20Definition%20Case%20Challeng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1E9B0A7FBF2C4CB2E406794A264955" ma:contentTypeVersion="8" ma:contentTypeDescription="Criar um novo documento." ma:contentTypeScope="" ma:versionID="550585e2ea0dfe93c12c14b180cfca99">
  <xsd:schema xmlns:xsd="http://www.w3.org/2001/XMLSchema" xmlns:xs="http://www.w3.org/2001/XMLSchema" xmlns:p="http://schemas.microsoft.com/office/2006/metadata/properties" xmlns:ns2="93a59706-6099-4f40-8eb4-c72b6da4c22e" targetNamespace="http://schemas.microsoft.com/office/2006/metadata/properties" ma:root="true" ma:fieldsID="138396567d9c8f31c9ef8bfc64c5d271" ns2:_="">
    <xsd:import namespace="93a59706-6099-4f40-8eb4-c72b6da4c2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59706-6099-4f40-8eb4-c72b6da4c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EEF993-A419-47BB-8202-9EE1F92016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A21B1B-097F-41A3-868B-E389079EC7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2C8CE7-2970-4553-B5A4-DF4FFC9AB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a59706-6099-4f40-8eb4-c72b6da4c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BIG Impact - Problem Definition Case Challenge.dotx</Template>
  <TotalTime>16</TotalTime>
  <Pages>1</Pages>
  <Words>24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Costa</dc:creator>
  <cp:lastModifiedBy>André Costa</cp:lastModifiedBy>
  <cp:revision>3</cp:revision>
  <dcterms:created xsi:type="dcterms:W3CDTF">2026-03-16T14:02:00Z</dcterms:created>
  <dcterms:modified xsi:type="dcterms:W3CDTF">2026-03-17T19:09:00Z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0x010100661E9B0A7FBF2C4CB2E406794A264955</vt:lpwstr>
  </property>
</Properties>
</file>