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Client Outreach Automation</w:t>
      </w:r>
    </w:p>
    <w:p>
      <w:pPr>
        <w:spacing w:after="40"/>
      </w:pPr>
      <w:r>
        <w:rPr>
          <w:color w:val="6B7280"/>
          <w:sz w:val="26"/>
          <w:szCs w:val="26"/>
        </w:rPr>
        <w:t xml:space="preserve">Product Requirements Document</w:t>
      </w:r>
    </w:p>
    <w:p>
      <w:pPr>
        <w:pBdr>
          <w:bottom w:val="single" w:color="D9DCE3" w:sz="6" w:space="12"/>
        </w:pBdr>
        <w:spacing w:after="40"/>
      </w:pPr>
      <w:r>
        <w:rPr>
          <w:color w:val="6B7280"/>
          <w:sz w:val="20"/>
          <w:szCs w:val="20"/>
        </w:rPr>
        <w:t xml:space="preserve">ThuWork Digital Solutions  ·  Med Spa vertical  ·  Draft v1  ·  August 14, 2026</w:t>
      </w:r>
    </w:p>
    <w:p>
      <w:pPr>
        <w:spacing w:after="300" w:before="120"/>
      </w:pPr>
      <w:r>
        <w:rPr>
          <w:color w:val="6B7280"/>
          <w:sz w:val="18"/>
          <w:szCs w:val="18"/>
        </w:rPr>
        <w:t xml:space="preserve">Owner: Tiffany  ·  Status: Draft for review</w:t>
      </w:r>
    </w:p>
    <w:p>
      <w:pPr>
        <w:pStyle w:val="Heading1"/>
        <w:spacing w:after="160" w:before="360"/>
      </w:pPr>
      <w:r>
        <w:t xml:space="preserve">1. Context</w:t>
      </w:r>
    </w:p>
    <w:p>
      <w:pPr>
        <w:spacing w:after="160"/>
      </w:pPr>
      <w:r>
        <w:t xml:space="preserve">ThuWork Digital Solutions is an AI-as-a-Service (AIaaS) agency helping small businesses adopt AI for operational efficiency and growth. The company has an internal outreach methodology (AIaaS_Small_Business_Client_Outreach_Plan) that defines the full customer-acquisition motion: pick one vertical, source and score prospects, run a 14-day multi-channel outreach sequence, and convert pilots into recurring revenue.</w:t>
      </w:r>
    </w:p>
    <w:p>
      <w:pPr>
        <w:spacing w:after="160"/>
      </w:pPr>
      <w:r>
        <w:t xml:space="preserve">Today this process is entirely manual — prospects are found, researched, scored, and messaged by hand. The plan itself calls for 100–150 new prospects sourced per week and 50–100 personalized outbound messages per week to hit its 90-day targets (2–3 customers by end of Month 1, 5–8 by Month 2, 10–20 by Month 3). That volume is not sustainable manually without either automation or headcount, and headcount is not the near-term plan.</w:t>
      </w:r>
    </w:p>
    <w:p>
      <w:pPr>
        <w:spacing w:after="160"/>
      </w:pPr>
      <w:r>
        <w:t xml:space="preserve">This PRD defines a semi-automated outreach system, starting with the med spa vertical (the plan's flagship example and a #1-priority segment alongside real estate and home services), that automates the mechanical parts of the funnel — sourcing, enrichment, scoring, and draft generation — while keeping a human in the loop for sending and relationship judgment calls, at least in v1.</w:t>
      </w:r>
    </w:p>
    <w:p>
      <w:pPr>
        <w:pStyle w:val="Heading1"/>
        <w:spacing w:after="160" w:before="360"/>
      </w:pPr>
      <w:r>
        <w:t xml:space="preserve">2. Problem Statement</w:t>
      </w:r>
    </w:p>
    <w:p>
      <w:pPr>
        <w:spacing w:after="160"/>
      </w:pPr>
      <w:r>
        <w:t xml:space="preserve">Manually sourcing and qualifying prospects, researching each business for a specific AI opportunity, and drafting genuinely personalized outreach is slow and inconsistent at the volume the outreach plan requires. As a result:</w:t>
      </w:r>
    </w:p>
    <w:p>
      <w:pPr>
        <w:pStyle w:val="ListParagraph"/>
        <w:numPr>
          <w:ilvl w:val="0"/>
          <w:numId w:val="2"/>
        </w:numPr>
        <w:spacing w:after="60"/>
      </w:pPr>
      <w:r>
        <w:t xml:space="preserve">Prospect volume falls short of the 100–150/week target needed to reach the 90-day customer goals.</w:t>
      </w:r>
    </w:p>
    <w:p>
      <w:pPr>
        <w:pStyle w:val="ListParagraph"/>
        <w:numPr>
          <w:ilvl w:val="0"/>
          <w:numId w:val="2"/>
        </w:numPr>
        <w:spacing w:after="60"/>
      </w:pPr>
      <w:r>
        <w:t xml:space="preserve">Research quality is inconsistent — the specificity that makes outreach convert (referencing a business's actual reviews, IG activity, or booking gaps) is the first thing dropped under time pressure.</w:t>
      </w:r>
    </w:p>
    <w:p>
      <w:pPr>
        <w:pStyle w:val="ListParagraph"/>
        <w:numPr>
          <w:ilvl w:val="0"/>
          <w:numId w:val="2"/>
        </w:numPr>
        <w:spacing w:after="60"/>
      </w:pPr>
      <w:r>
        <w:t xml:space="preserve">Follow-up discipline degrades over a 14-day, 6-touch sequence without a system tracking who's owed what, and when.</w:t>
      </w:r>
    </w:p>
    <w:p>
      <w:pPr>
        <w:pStyle w:val="ListParagraph"/>
        <w:numPr>
          <w:ilvl w:val="0"/>
          <w:numId w:val="2"/>
        </w:numPr>
        <w:spacing w:after="60"/>
      </w:pPr>
      <w:r>
        <w:t xml:space="preserve">There's no reliable funnel data (response rate, meeting rate, close rate, CAC) to know which parts of the process are actually working.</w:t>
      </w:r>
    </w:p>
    <w:p>
      <w:pPr>
        <w:pStyle w:val="Heading1"/>
        <w:spacing w:after="160" w:before="360"/>
      </w:pPr>
      <w:r>
        <w:t xml:space="preserve">3. Objective</w:t>
      </w:r>
    </w:p>
    <w:p>
      <w:pPr>
        <w:spacing w:after="160"/>
      </w:pPr>
      <w:r>
        <w:t xml:space="preserve">Build an automation system that reliably sources, enriches, and scores med spa prospects against the plan's rubric, and drafts personalized first-touch and follow-up outreach — reducing the manual effort per qualified prospect from roughly 20–30 minutes today to under 5, while preserving (or improving) response and close rates versus fully manual outreach.</w:t>
      </w:r>
    </w:p>
    <w:p>
      <w:pPr>
        <w:spacing w:after="160"/>
      </w:pPr>
      <w:r>
        <w:t xml:space="preserve">Secondary objective: produce clean funnel data automatically, so decisions about vertical, pricing, and channel investment are made from real conversion numbers rather than intuition.</w:t>
      </w:r>
    </w:p>
    <w:p>
      <w:pPr>
        <w:pStyle w:val="Heading1"/>
        <w:spacing w:after="160" w:before="360"/>
      </w:pPr>
      <w:r>
        <w:t xml:space="preserve">4. Success Measurement</w:t>
      </w:r>
    </w:p>
    <w:p>
      <w:pPr>
        <w:spacing w:after="60" w:before="200"/>
      </w:pPr>
      <w:r>
        <w:rPr>
          <w:b/>
          <w:bCs/>
          <w:color w:val="2563EB"/>
          <w:sz w:val="20"/>
          <w:szCs w:val="20"/>
        </w:rPr>
        <w:t xml:space="preserve">Business outcomes (from the 90-day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2100"/>
      </w:tblGrid>
      <w:tr>
        <w:trPr>
          <w:tblHeader/>
        </w:trPr>
        <w:tc>
          <w:tcPr>
            <w:tcW w:type="dxa" w:w="4500"/>
            <w:shd w:fill="EEF2FF" w:val="clear"/>
            <w:tcMar>
              <w:top w:type="dxa" w:w="80"/>
              <w:left w:type="dxa" w:w="100"/>
              <w:bottom w:type="dxa" w:w="80"/>
              <w:right w:type="dxa" w:w="100"/>
            </w:tcMar>
          </w:tcPr>
          <w:p>
            <w:r>
              <w:rPr>
                <w:b/>
                <w:bCs/>
                <w:sz w:val="18"/>
                <w:szCs w:val="18"/>
              </w:rPr>
              <w:t xml:space="preserve">Milestone</w:t>
            </w:r>
          </w:p>
        </w:tc>
        <w:tc>
          <w:tcPr>
            <w:tcW w:type="dxa" w:w="3200"/>
            <w:shd w:fill="EEF2FF" w:val="clear"/>
            <w:tcMar>
              <w:top w:type="dxa" w:w="80"/>
              <w:left w:type="dxa" w:w="100"/>
              <w:bottom w:type="dxa" w:w="80"/>
              <w:right w:type="dxa" w:w="100"/>
            </w:tcMar>
          </w:tcPr>
          <w:p>
            <w:r>
              <w:rPr>
                <w:b/>
                <w:bCs/>
                <w:sz w:val="18"/>
                <w:szCs w:val="18"/>
              </w:rPr>
              <w:t xml:space="preserve">Target</w:t>
            </w:r>
          </w:p>
        </w:tc>
        <w:tc>
          <w:tcPr>
            <w:tcW w:type="dxa" w:w="2100"/>
            <w:shd w:fill="EEF2FF" w:val="clear"/>
            <w:tcMar>
              <w:top w:type="dxa" w:w="80"/>
              <w:left w:type="dxa" w:w="100"/>
              <w:bottom w:type="dxa" w:w="80"/>
              <w:right w:type="dxa" w:w="100"/>
            </w:tcMar>
          </w:tcPr>
          <w:p>
            <w:r>
              <w:rPr>
                <w:b/>
                <w:bCs/>
                <w:sz w:val="18"/>
                <w:szCs w:val="18"/>
              </w:rPr>
              <w:t xml:space="preserve">By</w:t>
            </w:r>
          </w:p>
        </w:tc>
      </w:tr>
      <w:tr>
        <w:tc>
          <w:tcPr>
            <w:tcW w:type="dxa" w:w="4500"/>
            <w:tcMar>
              <w:top w:type="dxa" w:w="80"/>
              <w:left w:type="dxa" w:w="100"/>
              <w:bottom w:type="dxa" w:w="80"/>
              <w:right w:type="dxa" w:w="100"/>
            </w:tcMar>
          </w:tcPr>
          <w:p>
            <w:r>
              <w:rPr>
                <w:b w:val="false"/>
                <w:bCs w:val="false"/>
                <w:sz w:val="19"/>
                <w:szCs w:val="19"/>
              </w:rPr>
              <w:t xml:space="preserve">Vertical validated</w:t>
            </w:r>
          </w:p>
        </w:tc>
        <w:tc>
          <w:tcPr>
            <w:tcW w:type="dxa" w:w="3200"/>
            <w:tcMar>
              <w:top w:type="dxa" w:w="80"/>
              <w:left w:type="dxa" w:w="100"/>
              <w:bottom w:type="dxa" w:w="80"/>
              <w:right w:type="dxa" w:w="100"/>
            </w:tcMar>
          </w:tcPr>
          <w:p>
            <w:r>
              <w:rPr>
                <w:b w:val="false"/>
                <w:bCs w:val="false"/>
                <w:sz w:val="19"/>
                <w:szCs w:val="19"/>
              </w:rPr>
              <w:t xml:space="preserve">First 2–3 paying customers</w:t>
            </w:r>
          </w:p>
        </w:tc>
        <w:tc>
          <w:tcPr>
            <w:tcW w:type="dxa" w:w="2100"/>
            <w:tcMar>
              <w:top w:type="dxa" w:w="80"/>
              <w:left w:type="dxa" w:w="100"/>
              <w:bottom w:type="dxa" w:w="80"/>
              <w:right w:type="dxa" w:w="100"/>
            </w:tcMar>
          </w:tcPr>
          <w:p>
            <w:r>
              <w:rPr>
                <w:b w:val="false"/>
                <w:bCs w:val="false"/>
                <w:sz w:val="19"/>
                <w:szCs w:val="19"/>
              </w:rPr>
              <w:t xml:space="preserve">End of Month 1</w:t>
            </w:r>
          </w:p>
        </w:tc>
      </w:tr>
      <w:tr>
        <w:tc>
          <w:tcPr>
            <w:tcW w:type="dxa" w:w="4500"/>
            <w:tcMar>
              <w:top w:type="dxa" w:w="80"/>
              <w:left w:type="dxa" w:w="100"/>
              <w:bottom w:type="dxa" w:w="80"/>
              <w:right w:type="dxa" w:w="100"/>
            </w:tcMar>
          </w:tcPr>
          <w:p>
            <w:r>
              <w:rPr>
                <w:b w:val="false"/>
                <w:bCs w:val="false"/>
                <w:sz w:val="19"/>
                <w:szCs w:val="19"/>
              </w:rPr>
              <w:t xml:space="preserve">Offer productized</w:t>
            </w:r>
          </w:p>
        </w:tc>
        <w:tc>
          <w:tcPr>
            <w:tcW w:type="dxa" w:w="3200"/>
            <w:tcMar>
              <w:top w:type="dxa" w:w="80"/>
              <w:left w:type="dxa" w:w="100"/>
              <w:bottom w:type="dxa" w:w="80"/>
              <w:right w:type="dxa" w:w="100"/>
            </w:tcMar>
          </w:tcPr>
          <w:p>
            <w:r>
              <w:rPr>
                <w:b w:val="false"/>
                <w:bCs w:val="false"/>
                <w:sz w:val="19"/>
                <w:szCs w:val="19"/>
              </w:rPr>
              <w:t xml:space="preserve">5–8 customers on the packaged offer</w:t>
            </w:r>
          </w:p>
        </w:tc>
        <w:tc>
          <w:tcPr>
            <w:tcW w:type="dxa" w:w="2100"/>
            <w:tcMar>
              <w:top w:type="dxa" w:w="80"/>
              <w:left w:type="dxa" w:w="100"/>
              <w:bottom w:type="dxa" w:w="80"/>
              <w:right w:type="dxa" w:w="100"/>
            </w:tcMar>
          </w:tcPr>
          <w:p>
            <w:r>
              <w:rPr>
                <w:b w:val="false"/>
                <w:bCs w:val="false"/>
                <w:sz w:val="19"/>
                <w:szCs w:val="19"/>
              </w:rPr>
              <w:t xml:space="preserve">End of Month 2</w:t>
            </w:r>
          </w:p>
        </w:tc>
      </w:tr>
      <w:tr>
        <w:tc>
          <w:tcPr>
            <w:tcW w:type="dxa" w:w="4500"/>
            <w:tcMar>
              <w:top w:type="dxa" w:w="80"/>
              <w:left w:type="dxa" w:w="100"/>
              <w:bottom w:type="dxa" w:w="80"/>
              <w:right w:type="dxa" w:w="100"/>
            </w:tcMar>
          </w:tcPr>
          <w:p>
            <w:r>
              <w:rPr>
                <w:b w:val="false"/>
                <w:bCs w:val="false"/>
                <w:sz w:val="19"/>
                <w:szCs w:val="19"/>
              </w:rPr>
              <w:t xml:space="preserve">Outbound scaled</w:t>
            </w:r>
          </w:p>
        </w:tc>
        <w:tc>
          <w:tcPr>
            <w:tcW w:type="dxa" w:w="3200"/>
            <w:tcMar>
              <w:top w:type="dxa" w:w="80"/>
              <w:left w:type="dxa" w:w="100"/>
              <w:bottom w:type="dxa" w:w="80"/>
              <w:right w:type="dxa" w:w="100"/>
            </w:tcMar>
          </w:tcPr>
          <w:p>
            <w:r>
              <w:rPr>
                <w:b w:val="false"/>
                <w:bCs w:val="false"/>
                <w:sz w:val="19"/>
                <w:szCs w:val="19"/>
              </w:rPr>
              <w:t xml:space="preserve">10–20 customers</w:t>
            </w:r>
          </w:p>
        </w:tc>
        <w:tc>
          <w:tcPr>
            <w:tcW w:type="dxa" w:w="2100"/>
            <w:tcMar>
              <w:top w:type="dxa" w:w="80"/>
              <w:left w:type="dxa" w:w="100"/>
              <w:bottom w:type="dxa" w:w="80"/>
              <w:right w:type="dxa" w:w="100"/>
            </w:tcMar>
          </w:tcPr>
          <w:p>
            <w:r>
              <w:rPr>
                <w:b w:val="false"/>
                <w:bCs w:val="false"/>
                <w:sz w:val="19"/>
                <w:szCs w:val="19"/>
              </w:rPr>
              <w:t xml:space="preserve">End of Month 3</w:t>
            </w:r>
          </w:p>
        </w:tc>
      </w:tr>
    </w:tbl>
    <w:p>
      <w:pPr>
        <w:spacing w:after="60" w:before="200"/>
      </w:pPr>
      <w:r>
        <w:rPr>
          <w:b/>
          <w:bCs/>
          <w:color w:val="2563EB"/>
          <w:sz w:val="20"/>
          <w:szCs w:val="20"/>
        </w:rPr>
        <w:t xml:space="preserve">Funnel metrics (tracked automatically once live)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w:trPr>
          <w:tblHeader/>
        </w:trPr>
        <w:tc>
          <w:tcPr>
            <w:tcW w:type="dxa" w:w="2600"/>
            <w:shd w:fill="EEF2FF" w:val="clear"/>
            <w:tcMar>
              <w:top w:type="dxa" w:w="80"/>
              <w:left w:type="dxa" w:w="100"/>
              <w:bottom w:type="dxa" w:w="80"/>
              <w:right w:type="dxa" w:w="100"/>
            </w:tcMar>
          </w:tcPr>
          <w:p>
            <w:r>
              <w:rPr>
                <w:b/>
                <w:bCs/>
                <w:sz w:val="18"/>
                <w:szCs w:val="18"/>
              </w:rPr>
              <w:t xml:space="preserve">Metric</w:t>
            </w:r>
          </w:p>
        </w:tc>
        <w:tc>
          <w:tcPr>
            <w:tcW w:type="dxa" w:w="4200"/>
            <w:shd w:fill="EEF2FF" w:val="clear"/>
            <w:tcMar>
              <w:top w:type="dxa" w:w="80"/>
              <w:left w:type="dxa" w:w="100"/>
              <w:bottom w:type="dxa" w:w="80"/>
              <w:right w:type="dxa" w:w="100"/>
            </w:tcMar>
          </w:tcPr>
          <w:p>
            <w:r>
              <w:rPr>
                <w:b/>
                <w:bCs/>
                <w:sz w:val="18"/>
                <w:szCs w:val="18"/>
              </w:rPr>
              <w:t xml:space="preserve">Definition</w:t>
            </w:r>
          </w:p>
        </w:tc>
        <w:tc>
          <w:tcPr>
            <w:tcW w:type="dxa" w:w="3000"/>
            <w:shd w:fill="EEF2FF" w:val="clear"/>
            <w:tcMar>
              <w:top w:type="dxa" w:w="80"/>
              <w:left w:type="dxa" w:w="100"/>
              <w:bottom w:type="dxa" w:w="80"/>
              <w:right w:type="dxa" w:w="100"/>
            </w:tcMar>
          </w:tcPr>
          <w:p>
            <w:r>
              <w:rPr>
                <w:b/>
                <w:bCs/>
                <w:sz w:val="18"/>
                <w:szCs w:val="18"/>
              </w:rPr>
              <w:t xml:space="preserve">v1 target</w:t>
            </w:r>
          </w:p>
        </w:tc>
      </w:tr>
      <w:tr>
        <w:tc>
          <w:tcPr>
            <w:tcW w:type="dxa" w:w="2600"/>
            <w:tcMar>
              <w:top w:type="dxa" w:w="80"/>
              <w:left w:type="dxa" w:w="100"/>
              <w:bottom w:type="dxa" w:w="80"/>
              <w:right w:type="dxa" w:w="100"/>
            </w:tcMar>
          </w:tcPr>
          <w:p>
            <w:r>
              <w:rPr>
                <w:b w:val="false"/>
                <w:bCs w:val="false"/>
                <w:sz w:val="19"/>
                <w:szCs w:val="19"/>
              </w:rPr>
              <w:t xml:space="preserve">Prospects sourced/week</w:t>
            </w:r>
          </w:p>
        </w:tc>
        <w:tc>
          <w:tcPr>
            <w:tcW w:type="dxa" w:w="4200"/>
            <w:tcMar>
              <w:top w:type="dxa" w:w="80"/>
              <w:left w:type="dxa" w:w="100"/>
              <w:bottom w:type="dxa" w:w="80"/>
              <w:right w:type="dxa" w:w="100"/>
            </w:tcMar>
          </w:tcPr>
          <w:p>
            <w:r>
              <w:rPr>
                <w:b w:val="false"/>
                <w:bCs w:val="false"/>
                <w:sz w:val="19"/>
                <w:szCs w:val="19"/>
              </w:rPr>
              <w:t xml:space="preserve">New qualified rows added</w:t>
            </w:r>
          </w:p>
        </w:tc>
        <w:tc>
          <w:tcPr>
            <w:tcW w:type="dxa" w:w="3000"/>
            <w:tcMar>
              <w:top w:type="dxa" w:w="80"/>
              <w:left w:type="dxa" w:w="100"/>
              <w:bottom w:type="dxa" w:w="80"/>
              <w:right w:type="dxa" w:w="100"/>
            </w:tcMar>
          </w:tcPr>
          <w:p>
            <w:r>
              <w:rPr>
                <w:b w:val="false"/>
                <w:bCs w:val="false"/>
                <w:sz w:val="19"/>
                <w:szCs w:val="19"/>
              </w:rPr>
              <w:t xml:space="preserve">100–150</w:t>
            </w:r>
          </w:p>
        </w:tc>
      </w:tr>
      <w:tr>
        <w:tc>
          <w:tcPr>
            <w:tcW w:type="dxa" w:w="2600"/>
            <w:tcMar>
              <w:top w:type="dxa" w:w="80"/>
              <w:left w:type="dxa" w:w="100"/>
              <w:bottom w:type="dxa" w:w="80"/>
              <w:right w:type="dxa" w:w="100"/>
            </w:tcMar>
          </w:tcPr>
          <w:p>
            <w:r>
              <w:rPr>
                <w:b w:val="false"/>
                <w:bCs w:val="false"/>
                <w:sz w:val="19"/>
                <w:szCs w:val="19"/>
              </w:rPr>
              <w:t xml:space="preserve">Response rate</w:t>
            </w:r>
          </w:p>
        </w:tc>
        <w:tc>
          <w:tcPr>
            <w:tcW w:type="dxa" w:w="4200"/>
            <w:tcMar>
              <w:top w:type="dxa" w:w="80"/>
              <w:left w:type="dxa" w:w="100"/>
              <w:bottom w:type="dxa" w:w="80"/>
              <w:right w:type="dxa" w:w="100"/>
            </w:tcMar>
          </w:tcPr>
          <w:p>
            <w:r>
              <w:rPr>
                <w:b w:val="false"/>
                <w:bCs w:val="false"/>
                <w:sz w:val="19"/>
                <w:szCs w:val="19"/>
              </w:rPr>
              <w:t xml:space="preserve">Responses ÷ contacts</w:t>
            </w:r>
          </w:p>
        </w:tc>
        <w:tc>
          <w:tcPr>
            <w:tcW w:type="dxa" w:w="3000"/>
            <w:tcMar>
              <w:top w:type="dxa" w:w="80"/>
              <w:left w:type="dxa" w:w="100"/>
              <w:bottom w:type="dxa" w:w="80"/>
              <w:right w:type="dxa" w:w="100"/>
            </w:tcMar>
          </w:tcPr>
          <w:p>
            <w:r>
              <w:rPr>
                <w:b w:val="false"/>
                <w:bCs w:val="false"/>
                <w:sz w:val="19"/>
                <w:szCs w:val="19"/>
              </w:rPr>
              <w:t xml:space="preserve">Baseline first, then improve</w:t>
            </w:r>
          </w:p>
        </w:tc>
      </w:tr>
      <w:tr>
        <w:tc>
          <w:tcPr>
            <w:tcW w:type="dxa" w:w="2600"/>
            <w:tcMar>
              <w:top w:type="dxa" w:w="80"/>
              <w:left w:type="dxa" w:w="100"/>
              <w:bottom w:type="dxa" w:w="80"/>
              <w:right w:type="dxa" w:w="100"/>
            </w:tcMar>
          </w:tcPr>
          <w:p>
            <w:r>
              <w:rPr>
                <w:b w:val="false"/>
                <w:bCs w:val="false"/>
                <w:sz w:val="19"/>
                <w:szCs w:val="19"/>
              </w:rPr>
              <w:t xml:space="preserve">Meeting rate</w:t>
            </w:r>
          </w:p>
        </w:tc>
        <w:tc>
          <w:tcPr>
            <w:tcW w:type="dxa" w:w="4200"/>
            <w:tcMar>
              <w:top w:type="dxa" w:w="80"/>
              <w:left w:type="dxa" w:w="100"/>
              <w:bottom w:type="dxa" w:w="80"/>
              <w:right w:type="dxa" w:w="100"/>
            </w:tcMar>
          </w:tcPr>
          <w:p>
            <w:r>
              <w:rPr>
                <w:b w:val="false"/>
                <w:bCs w:val="false"/>
                <w:sz w:val="19"/>
                <w:szCs w:val="19"/>
              </w:rPr>
              <w:t xml:space="preserve">Meetings ÷ contacts</w:t>
            </w:r>
          </w:p>
        </w:tc>
        <w:tc>
          <w:tcPr>
            <w:tcW w:type="dxa" w:w="3000"/>
            <w:tcMar>
              <w:top w:type="dxa" w:w="80"/>
              <w:left w:type="dxa" w:w="100"/>
              <w:bottom w:type="dxa" w:w="80"/>
              <w:right w:type="dxa" w:w="100"/>
            </w:tcMar>
          </w:tcPr>
          <w:p>
            <w:r>
              <w:rPr>
                <w:b w:val="false"/>
                <w:bCs w:val="false"/>
                <w:sz w:val="19"/>
                <w:szCs w:val="19"/>
              </w:rPr>
              <w:t xml:space="preserve">Baseline first, then improve</w:t>
            </w:r>
          </w:p>
        </w:tc>
      </w:tr>
      <w:tr>
        <w:tc>
          <w:tcPr>
            <w:tcW w:type="dxa" w:w="2600"/>
            <w:tcMar>
              <w:top w:type="dxa" w:w="80"/>
              <w:left w:type="dxa" w:w="100"/>
              <w:bottom w:type="dxa" w:w="80"/>
              <w:right w:type="dxa" w:w="100"/>
            </w:tcMar>
          </w:tcPr>
          <w:p>
            <w:r>
              <w:rPr>
                <w:b w:val="false"/>
                <w:bCs w:val="false"/>
                <w:sz w:val="19"/>
                <w:szCs w:val="19"/>
              </w:rPr>
              <w:t xml:space="preserve">Demo rate</w:t>
            </w:r>
          </w:p>
        </w:tc>
        <w:tc>
          <w:tcPr>
            <w:tcW w:type="dxa" w:w="4200"/>
            <w:tcMar>
              <w:top w:type="dxa" w:w="80"/>
              <w:left w:type="dxa" w:w="100"/>
              <w:bottom w:type="dxa" w:w="80"/>
              <w:right w:type="dxa" w:w="100"/>
            </w:tcMar>
          </w:tcPr>
          <w:p>
            <w:r>
              <w:rPr>
                <w:b w:val="false"/>
                <w:bCs w:val="false"/>
                <w:sz w:val="19"/>
                <w:szCs w:val="19"/>
              </w:rPr>
              <w:t xml:space="preserve">Demos ÷ qualified conversations</w:t>
            </w:r>
          </w:p>
        </w:tc>
        <w:tc>
          <w:tcPr>
            <w:tcW w:type="dxa" w:w="3000"/>
            <w:tcMar>
              <w:top w:type="dxa" w:w="80"/>
              <w:left w:type="dxa" w:w="100"/>
              <w:bottom w:type="dxa" w:w="80"/>
              <w:right w:type="dxa" w:w="100"/>
            </w:tcMar>
          </w:tcPr>
          <w:p>
            <w:r>
              <w:rPr>
                <w:b w:val="false"/>
                <w:bCs w:val="false"/>
                <w:sz w:val="19"/>
                <w:szCs w:val="19"/>
              </w:rPr>
              <w:t xml:space="preserve">Baseline first, then improve</w:t>
            </w:r>
          </w:p>
        </w:tc>
      </w:tr>
      <w:tr>
        <w:tc>
          <w:tcPr>
            <w:tcW w:type="dxa" w:w="2600"/>
            <w:tcMar>
              <w:top w:type="dxa" w:w="80"/>
              <w:left w:type="dxa" w:w="100"/>
              <w:bottom w:type="dxa" w:w="80"/>
              <w:right w:type="dxa" w:w="100"/>
            </w:tcMar>
          </w:tcPr>
          <w:p>
            <w:r>
              <w:rPr>
                <w:b w:val="false"/>
                <w:bCs w:val="false"/>
                <w:sz w:val="19"/>
                <w:szCs w:val="19"/>
              </w:rPr>
              <w:t xml:space="preserve">Close rate</w:t>
            </w:r>
          </w:p>
        </w:tc>
        <w:tc>
          <w:tcPr>
            <w:tcW w:type="dxa" w:w="4200"/>
            <w:tcMar>
              <w:top w:type="dxa" w:w="80"/>
              <w:left w:type="dxa" w:w="100"/>
              <w:bottom w:type="dxa" w:w="80"/>
              <w:right w:type="dxa" w:w="100"/>
            </w:tcMar>
          </w:tcPr>
          <w:p>
            <w:r>
              <w:rPr>
                <w:b w:val="false"/>
                <w:bCs w:val="false"/>
                <w:sz w:val="19"/>
                <w:szCs w:val="19"/>
              </w:rPr>
              <w:t xml:space="preserve">Customers ÷ proposals</w:t>
            </w:r>
          </w:p>
        </w:tc>
        <w:tc>
          <w:tcPr>
            <w:tcW w:type="dxa" w:w="3000"/>
            <w:tcMar>
              <w:top w:type="dxa" w:w="80"/>
              <w:left w:type="dxa" w:w="100"/>
              <w:bottom w:type="dxa" w:w="80"/>
              <w:right w:type="dxa" w:w="100"/>
            </w:tcMar>
          </w:tcPr>
          <w:p>
            <w:r>
              <w:rPr>
                <w:b w:val="false"/>
                <w:bCs w:val="false"/>
                <w:sz w:val="19"/>
                <w:szCs w:val="19"/>
              </w:rPr>
              <w:t xml:space="preserve">Baseline first, then improve</w:t>
            </w:r>
          </w:p>
        </w:tc>
      </w:tr>
      <w:tr>
        <w:tc>
          <w:tcPr>
            <w:tcW w:type="dxa" w:w="2600"/>
            <w:tcMar>
              <w:top w:type="dxa" w:w="80"/>
              <w:left w:type="dxa" w:w="100"/>
              <w:bottom w:type="dxa" w:w="80"/>
              <w:right w:type="dxa" w:w="100"/>
            </w:tcMar>
          </w:tcPr>
          <w:p>
            <w:r>
              <w:rPr>
                <w:b w:val="false"/>
                <w:bCs w:val="false"/>
                <w:sz w:val="19"/>
                <w:szCs w:val="19"/>
              </w:rPr>
              <w:t xml:space="preserve">CAC</w:t>
            </w:r>
          </w:p>
        </w:tc>
        <w:tc>
          <w:tcPr>
            <w:tcW w:type="dxa" w:w="4200"/>
            <w:tcMar>
              <w:top w:type="dxa" w:w="80"/>
              <w:left w:type="dxa" w:w="100"/>
              <w:bottom w:type="dxa" w:w="80"/>
              <w:right w:type="dxa" w:w="100"/>
            </w:tcMar>
          </w:tcPr>
          <w:p>
            <w:r>
              <w:rPr>
                <w:b w:val="false"/>
                <w:bCs w:val="false"/>
                <w:sz w:val="19"/>
                <w:szCs w:val="19"/>
              </w:rPr>
              <w:t xml:space="preserve">Sales &amp; marketing cost ÷ new customers</w:t>
            </w:r>
          </w:p>
        </w:tc>
        <w:tc>
          <w:tcPr>
            <w:tcW w:type="dxa" w:w="3000"/>
            <w:tcMar>
              <w:top w:type="dxa" w:w="80"/>
              <w:left w:type="dxa" w:w="100"/>
              <w:bottom w:type="dxa" w:w="80"/>
              <w:right w:type="dxa" w:w="100"/>
            </w:tcMar>
          </w:tcPr>
          <w:p>
            <w:r>
              <w:rPr>
                <w:b w:val="false"/>
                <w:bCs w:val="false"/>
                <w:sz w:val="19"/>
                <w:szCs w:val="19"/>
              </w:rPr>
              <w:t xml:space="preserve">Track; no target until baseline set</w:t>
            </w:r>
          </w:p>
        </w:tc>
      </w:tr>
    </w:tbl>
    <w:p>
      <w:pPr>
        <w:spacing w:after="60" w:before="200"/>
      </w:pPr>
      <w:r>
        <w:rPr>
          <w:b/>
          <w:bCs/>
          <w:color w:val="2563EB"/>
          <w:sz w:val="20"/>
          <w:szCs w:val="20"/>
        </w:rPr>
        <w:t xml:space="preserve">Operational / system health metrics</w:t>
      </w:r>
    </w:p>
    <w:p>
      <w:pPr>
        <w:pStyle w:val="ListParagraph"/>
        <w:numPr>
          <w:ilvl w:val="0"/>
          <w:numId w:val="2"/>
        </w:numPr>
        <w:spacing w:after="60"/>
      </w:pPr>
      <w:r>
        <w:t xml:space="preserve">Time spent per qualified (score ≥7) prospect, manual vs. automated.</w:t>
      </w:r>
    </w:p>
    <w:p>
      <w:pPr>
        <w:pStyle w:val="ListParagraph"/>
        <w:numPr>
          <w:ilvl w:val="0"/>
          <w:numId w:val="2"/>
        </w:numPr>
        <w:spacing w:after="60"/>
      </w:pPr>
      <w:r>
        <w:t xml:space="preserve">Scoring accuracy — spot-check a sample of AI-assigned scores weekly against manual judgment; target ≥85% agreement before trusting the score to gate outreach automatically.</w:t>
      </w:r>
    </w:p>
    <w:p>
      <w:pPr>
        <w:pStyle w:val="ListParagraph"/>
        <w:numPr>
          <w:ilvl w:val="0"/>
          <w:numId w:val="2"/>
        </w:numPr>
        <w:spacing w:after="60"/>
      </w:pPr>
      <w:r>
        <w:t xml:space="preserve">Draft usability — % of AI-drafted emails sent with no or minor edits (target ≥70% by end of Phase 3).</w:t>
      </w:r>
    </w:p>
    <w:p>
      <w:pPr>
        <w:pStyle w:val="Heading1"/>
        <w:spacing w:after="160" w:before="360"/>
      </w:pPr>
      <w:r>
        <w:t xml:space="preserve">5. Target Users / Personas</w:t>
      </w:r>
    </w:p>
    <w:p>
      <w:pPr>
        <w:pStyle w:val="ListParagraph"/>
        <w:numPr>
          <w:ilvl w:val="0"/>
          <w:numId w:val="2"/>
        </w:numPr>
        <w:spacing w:after="60"/>
      </w:pPr>
      <w:r>
        <w:t xml:space="preserve">Primary operator (Tiffany) — runs the system day to day: reviews scored prospects, approves outreach drafts, executes manual IG/LinkedIn touches, monitors metrics.</w:t>
      </w:r>
    </w:p>
    <w:p>
      <w:pPr>
        <w:pStyle w:val="ListParagraph"/>
        <w:numPr>
          <w:ilvl w:val="0"/>
          <w:numId w:val="2"/>
        </w:numPr>
        <w:spacing w:after="60"/>
      </w:pPr>
      <w:r>
        <w:t xml:space="preserve">Future SDR/growth hire — same workflow, designed so a new hire can be handed the system with minimal ramp-up once volume justifies headcount.</w:t>
      </w:r>
    </w:p>
    <w:p>
      <w:pPr>
        <w:pStyle w:val="ListParagraph"/>
        <w:numPr>
          <w:ilvl w:val="0"/>
          <w:numId w:val="2"/>
        </w:numPr>
        <w:spacing w:after="60"/>
      </w:pPr>
      <w:r>
        <w:t xml:space="preserve">End recipients — med spa owners/decision-makers who receive outreach; not a system user, but every design choice (personalization quality, send cadence, channel mix) is made with their experience in mind to protect reply rates and reputation.</w:t>
      </w:r>
    </w:p>
    <w:p>
      <w:pPr>
        <w:pStyle w:val="Heading1"/>
        <w:spacing w:after="160" w:before="360"/>
      </w:pPr>
      <w:r>
        <w:t xml:space="preserve">6. Features &amp; Roadmap</w:t>
      </w:r>
    </w:p>
    <w:p>
      <w:pPr>
        <w:spacing w:after="160"/>
      </w:pPr>
      <w:r>
        <w:t xml:space="preserve">Delivered in four phases, each one validated before the next is built, matching the funnel dependency (bad sourcing/scoring makes everything downstream worse).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000"/>
      </w:tblGrid>
      <w:tr>
        <w:trPr>
          <w:tblHeader/>
        </w:trPr>
        <w:tc>
          <w:tcPr>
            <w:tcW w:type="dxa" w:w="2200"/>
            <w:shd w:fill="EEF2FF" w:val="clear"/>
            <w:tcMar>
              <w:top w:type="dxa" w:w="80"/>
              <w:left w:type="dxa" w:w="100"/>
              <w:bottom w:type="dxa" w:w="80"/>
              <w:right w:type="dxa" w:w="100"/>
            </w:tcMar>
          </w:tcPr>
          <w:p>
            <w:r>
              <w:rPr>
                <w:b/>
                <w:bCs/>
                <w:sz w:val="18"/>
                <w:szCs w:val="18"/>
              </w:rPr>
              <w:t xml:space="preserve">Phase</w:t>
            </w:r>
          </w:p>
        </w:tc>
        <w:tc>
          <w:tcPr>
            <w:tcW w:type="dxa" w:w="4600"/>
            <w:shd w:fill="EEF2FF" w:val="clear"/>
            <w:tcMar>
              <w:top w:type="dxa" w:w="80"/>
              <w:left w:type="dxa" w:w="100"/>
              <w:bottom w:type="dxa" w:w="80"/>
              <w:right w:type="dxa" w:w="100"/>
            </w:tcMar>
          </w:tcPr>
          <w:p>
            <w:r>
              <w:rPr>
                <w:b/>
                <w:bCs/>
                <w:sz w:val="18"/>
                <w:szCs w:val="18"/>
              </w:rPr>
              <w:t xml:space="preserve">Features</w:t>
            </w:r>
          </w:p>
        </w:tc>
        <w:tc>
          <w:tcPr>
            <w:tcW w:type="dxa" w:w="3000"/>
            <w:shd w:fill="EEF2FF" w:val="clear"/>
            <w:tcMar>
              <w:top w:type="dxa" w:w="80"/>
              <w:left w:type="dxa" w:w="100"/>
              <w:bottom w:type="dxa" w:w="80"/>
              <w:right w:type="dxa" w:w="100"/>
            </w:tcMar>
          </w:tcPr>
          <w:p>
            <w:r>
              <w:rPr>
                <w:b/>
                <w:bCs/>
                <w:sz w:val="18"/>
                <w:szCs w:val="18"/>
              </w:rPr>
              <w:t xml:space="preserve">Exit criteria</w:t>
            </w:r>
          </w:p>
        </w:tc>
      </w:tr>
      <w:tr>
        <w:tc>
          <w:tcPr>
            <w:tcW w:type="dxa" w:w="2200"/>
            <w:tcMar>
              <w:top w:type="dxa" w:w="80"/>
              <w:left w:type="dxa" w:w="100"/>
              <w:bottom w:type="dxa" w:w="80"/>
              <w:right w:type="dxa" w:w="100"/>
            </w:tcMar>
          </w:tcPr>
          <w:p>
            <w:r>
              <w:rPr>
                <w:b w:val="false"/>
                <w:bCs w:val="false"/>
                <w:sz w:val="19"/>
                <w:szCs w:val="19"/>
              </w:rPr>
              <w:t xml:space="preserve">Phase 1 — Foundation</w:t>
            </w:r>
          </w:p>
        </w:tc>
        <w:tc>
          <w:tcPr>
            <w:tcW w:type="dxa" w:w="4600"/>
            <w:tcMar>
              <w:top w:type="dxa" w:w="80"/>
              <w:left w:type="dxa" w:w="100"/>
              <w:bottom w:type="dxa" w:w="80"/>
              <w:right w:type="dxa" w:w="100"/>
            </w:tcMar>
          </w:tcPr>
          <w:p>
            <w:r>
              <w:rPr>
                <w:b w:val="false"/>
                <w:bCs w:val="false"/>
                <w:sz w:val="19"/>
                <w:szCs w:val="19"/>
              </w:rPr>
              <w:t xml:space="preserve">Prospect data store (Sheet); automated sourcing from Google Maps/Places; AI scoring against the 5-criterion rubric</w:t>
            </w:r>
          </w:p>
        </w:tc>
        <w:tc>
          <w:tcPr>
            <w:tcW w:type="dxa" w:w="3000"/>
            <w:tcMar>
              <w:top w:type="dxa" w:w="80"/>
              <w:left w:type="dxa" w:w="100"/>
              <w:bottom w:type="dxa" w:w="80"/>
              <w:right w:type="dxa" w:w="100"/>
            </w:tcMar>
          </w:tcPr>
          <w:p>
            <w:r>
              <w:rPr>
                <w:b w:val="false"/>
                <w:bCs w:val="false"/>
                <w:sz w:val="19"/>
                <w:szCs w:val="19"/>
              </w:rPr>
              <w:t xml:space="preserve">Sourcing consistently returns 100+ prospects/week; score spot-check ≥85% agreement with manual judgment</w:t>
            </w:r>
          </w:p>
        </w:tc>
      </w:tr>
      <w:tr>
        <w:tc>
          <w:tcPr>
            <w:tcW w:type="dxa" w:w="2200"/>
            <w:tcMar>
              <w:top w:type="dxa" w:w="80"/>
              <w:left w:type="dxa" w:w="100"/>
              <w:bottom w:type="dxa" w:w="80"/>
              <w:right w:type="dxa" w:w="100"/>
            </w:tcMar>
          </w:tcPr>
          <w:p>
            <w:r>
              <w:rPr>
                <w:b w:val="false"/>
                <w:bCs w:val="false"/>
                <w:sz w:val="19"/>
                <w:szCs w:val="19"/>
              </w:rPr>
              <w:t xml:space="preserve">Phase 2 — Enrichment</w:t>
            </w:r>
          </w:p>
        </w:tc>
        <w:tc>
          <w:tcPr>
            <w:tcW w:type="dxa" w:w="4600"/>
            <w:tcMar>
              <w:top w:type="dxa" w:w="80"/>
              <w:left w:type="dxa" w:w="100"/>
              <w:bottom w:type="dxa" w:w="80"/>
              <w:right w:type="dxa" w:w="100"/>
            </w:tcMar>
          </w:tcPr>
          <w:p>
            <w:r>
              <w:rPr>
                <w:b w:val="false"/>
                <w:bCs w:val="false"/>
                <w:sz w:val="19"/>
                <w:szCs w:val="19"/>
              </w:rPr>
              <w:t xml:space="preserve">Website + Instagram scraping; decision-maker + booking-system + inquiry-pattern extraction</w:t>
            </w:r>
          </w:p>
        </w:tc>
        <w:tc>
          <w:tcPr>
            <w:tcW w:type="dxa" w:w="3000"/>
            <w:tcMar>
              <w:top w:type="dxa" w:w="80"/>
              <w:left w:type="dxa" w:w="100"/>
              <w:bottom w:type="dxa" w:w="80"/>
              <w:right w:type="dxa" w:w="100"/>
            </w:tcMar>
          </w:tcPr>
          <w:p>
            <w:r>
              <w:rPr>
                <w:b w:val="false"/>
                <w:bCs w:val="false"/>
                <w:sz w:val="19"/>
                <w:szCs w:val="19"/>
              </w:rPr>
              <w:t xml:space="preserve">Enrichment fields populated for ≥90% of scored prospects without manual lookup</w:t>
            </w:r>
          </w:p>
        </w:tc>
      </w:tr>
      <w:tr>
        <w:tc>
          <w:tcPr>
            <w:tcW w:type="dxa" w:w="2200"/>
            <w:tcMar>
              <w:top w:type="dxa" w:w="80"/>
              <w:left w:type="dxa" w:w="100"/>
              <w:bottom w:type="dxa" w:w="80"/>
              <w:right w:type="dxa" w:w="100"/>
            </w:tcMar>
          </w:tcPr>
          <w:p>
            <w:r>
              <w:rPr>
                <w:b w:val="false"/>
                <w:bCs w:val="false"/>
                <w:sz w:val="19"/>
                <w:szCs w:val="19"/>
              </w:rPr>
              <w:t xml:space="preserve">Phase 3 — Drafting</w:t>
            </w:r>
          </w:p>
        </w:tc>
        <w:tc>
          <w:tcPr>
            <w:tcW w:type="dxa" w:w="4600"/>
            <w:tcMar>
              <w:top w:type="dxa" w:w="80"/>
              <w:left w:type="dxa" w:w="100"/>
              <w:bottom w:type="dxa" w:w="80"/>
              <w:right w:type="dxa" w:w="100"/>
            </w:tcMar>
          </w:tcPr>
          <w:p>
            <w:r>
              <w:rPr>
                <w:b w:val="false"/>
                <w:bCs w:val="false"/>
                <w:sz w:val="19"/>
                <w:szCs w:val="19"/>
              </w:rPr>
              <w:t xml:space="preserve">AI-drafted Day 1 email + Day 4 follow-up, referencing real research; human-approval step before send</w:t>
            </w:r>
          </w:p>
        </w:tc>
        <w:tc>
          <w:tcPr>
            <w:tcW w:type="dxa" w:w="3000"/>
            <w:tcMar>
              <w:top w:type="dxa" w:w="80"/>
              <w:left w:type="dxa" w:w="100"/>
              <w:bottom w:type="dxa" w:w="80"/>
              <w:right w:type="dxa" w:w="100"/>
            </w:tcMar>
          </w:tcPr>
          <w:p>
            <w:r>
              <w:rPr>
                <w:b w:val="false"/>
                <w:bCs w:val="false"/>
                <w:sz w:val="19"/>
                <w:szCs w:val="19"/>
              </w:rPr>
              <w:t xml:space="preserve">≥70% of drafts usable with no/minor edits</w:t>
            </w:r>
          </w:p>
        </w:tc>
      </w:tr>
      <w:tr>
        <w:tc>
          <w:tcPr>
            <w:tcW w:type="dxa" w:w="2200"/>
            <w:tcMar>
              <w:top w:type="dxa" w:w="80"/>
              <w:left w:type="dxa" w:w="100"/>
              <w:bottom w:type="dxa" w:w="80"/>
              <w:right w:type="dxa" w:w="100"/>
            </w:tcMar>
          </w:tcPr>
          <w:p>
            <w:r>
              <w:rPr>
                <w:b w:val="false"/>
                <w:bCs w:val="false"/>
                <w:sz w:val="19"/>
                <w:szCs w:val="19"/>
              </w:rPr>
              <w:t xml:space="preserve">Phase 4 — Sequencing &amp; Metrics</w:t>
            </w:r>
          </w:p>
        </w:tc>
        <w:tc>
          <w:tcPr>
            <w:tcW w:type="dxa" w:w="4600"/>
            <w:tcMar>
              <w:top w:type="dxa" w:w="80"/>
              <w:left w:type="dxa" w:w="100"/>
              <w:bottom w:type="dxa" w:w="80"/>
              <w:right w:type="dxa" w:w="100"/>
            </w:tcMar>
          </w:tcPr>
          <w:p>
            <w:r>
              <w:rPr>
                <w:b w:val="false"/>
                <w:bCs w:val="false"/>
                <w:sz w:val="19"/>
                <w:szCs w:val="19"/>
              </w:rPr>
              <w:t xml:space="preserve">14-day, 6-touch sequence runner (auto-send email; queue manual IG/LinkedIn touches); weekly funnel metrics rollup</w:t>
            </w:r>
          </w:p>
        </w:tc>
        <w:tc>
          <w:tcPr>
            <w:tcW w:type="dxa" w:w="3000"/>
            <w:tcMar>
              <w:top w:type="dxa" w:w="80"/>
              <w:left w:type="dxa" w:w="100"/>
              <w:bottom w:type="dxa" w:w="80"/>
              <w:right w:type="dxa" w:w="100"/>
            </w:tcMar>
          </w:tcPr>
          <w:p>
            <w:r>
              <w:rPr>
                <w:b w:val="false"/>
                <w:bCs w:val="false"/>
                <w:sz w:val="19"/>
                <w:szCs w:val="19"/>
              </w:rPr>
              <w:t xml:space="preserve">Full funnel tracked automatically; first cohort of outreach completes a full 14-day cycle</w:t>
            </w:r>
          </w:p>
        </w:tc>
      </w:tr>
    </w:tbl>
    <w:p>
      <w:pPr>
        <w:pStyle w:val="Heading1"/>
        <w:spacing w:after="160" w:before="360"/>
      </w:pPr>
      <w:r>
        <w:t xml:space="preserve">7. Scope</w:t>
      </w:r>
    </w:p>
    <w:p>
      <w:pPr>
        <w:spacing w:after="60" w:before="200"/>
      </w:pPr>
      <w:r>
        <w:rPr>
          <w:b/>
          <w:bCs/>
          <w:color w:val="2563EB"/>
          <w:sz w:val="20"/>
          <w:szCs w:val="20"/>
        </w:rPr>
        <w:t xml:space="preserve">In scope for v1</w:t>
      </w:r>
    </w:p>
    <w:p>
      <w:pPr>
        <w:pStyle w:val="ListParagraph"/>
        <w:numPr>
          <w:ilvl w:val="0"/>
          <w:numId w:val="2"/>
        </w:numPr>
        <w:spacing w:after="60"/>
      </w:pPr>
      <w:r>
        <w:t xml:space="preserve">Med spa vertical only, in the geographies already prioritized in the market research (TX, GA, FL primary).</w:t>
      </w:r>
    </w:p>
    <w:p>
      <w:pPr>
        <w:pStyle w:val="ListParagraph"/>
        <w:numPr>
          <w:ilvl w:val="0"/>
          <w:numId w:val="2"/>
        </w:numPr>
        <w:spacing w:after="60"/>
      </w:pPr>
      <w:r>
        <w:t xml:space="preserve">Email as the primary automated send channel; Instagram/LinkedIn touches are system-queued but manually executed.</w:t>
      </w:r>
    </w:p>
    <w:p>
      <w:pPr>
        <w:pStyle w:val="ListParagraph"/>
        <w:numPr>
          <w:ilvl w:val="0"/>
          <w:numId w:val="2"/>
        </w:numPr>
        <w:spacing w:after="60"/>
      </w:pPr>
      <w:r>
        <w:t xml:space="preserve">Human approval required before any outreach email sends (no fully autonomous sending in v1).</w:t>
      </w:r>
    </w:p>
    <w:p>
      <w:pPr>
        <w:pStyle w:val="ListParagraph"/>
        <w:numPr>
          <w:ilvl w:val="0"/>
          <w:numId w:val="2"/>
        </w:numPr>
        <w:spacing w:after="60"/>
      </w:pPr>
      <w:r>
        <w:t xml:space="preserve">Google Sheets as the system of record.</w:t>
      </w:r>
    </w:p>
    <w:p>
      <w:pPr>
        <w:spacing w:after="60" w:before="200"/>
      </w:pPr>
      <w:r>
        <w:rPr>
          <w:b/>
          <w:bCs/>
          <w:color w:val="2563EB"/>
          <w:sz w:val="20"/>
          <w:szCs w:val="20"/>
        </w:rPr>
        <w:t xml:space="preserve">Out of scope for v1</w:t>
      </w:r>
    </w:p>
    <w:p>
      <w:pPr>
        <w:pStyle w:val="ListParagraph"/>
        <w:numPr>
          <w:ilvl w:val="0"/>
          <w:numId w:val="2"/>
        </w:numPr>
        <w:spacing w:after="60"/>
      </w:pPr>
      <w:r>
        <w:t xml:space="preserve">Other verticals (real estate, home services, healthcare, etc.) — revisit after med spa is validated.</w:t>
      </w:r>
    </w:p>
    <w:p>
      <w:pPr>
        <w:pStyle w:val="ListParagraph"/>
        <w:numPr>
          <w:ilvl w:val="0"/>
          <w:numId w:val="2"/>
        </w:numPr>
        <w:spacing w:after="60"/>
      </w:pPr>
      <w:r>
        <w:t xml:space="preserve">Automated Instagram/LinkedIn sending — no compliant API exists for this; not attempted in v1.</w:t>
      </w:r>
    </w:p>
    <w:p>
      <w:pPr>
        <w:pStyle w:val="ListParagraph"/>
        <w:numPr>
          <w:ilvl w:val="0"/>
          <w:numId w:val="2"/>
        </w:numPr>
        <w:spacing w:after="60"/>
      </w:pPr>
      <w:r>
        <w:t xml:space="preserve">Migration to a full CRM (HubSpot/Airtable) — revisit once Sheets becomes a bottleneck.</w:t>
      </w:r>
    </w:p>
    <w:p>
      <w:pPr>
        <w:pStyle w:val="ListParagraph"/>
        <w:numPr>
          <w:ilvl w:val="0"/>
          <w:numId w:val="2"/>
        </w:numPr>
        <w:spacing w:after="60"/>
      </w:pPr>
      <w:r>
        <w:t xml:space="preserve">Fully autonomous send-without-review — revisit once draft usability consistently exceeds target.</w:t>
      </w:r>
    </w:p>
    <w:p>
      <w:pPr>
        <w:pStyle w:val="Heading1"/>
        <w:spacing w:after="160" w:before="360"/>
      </w:pPr>
      <w:r>
        <w:t xml:space="preserve">8. Assumptions &amp; Constraints</w:t>
      </w:r>
    </w:p>
    <w:p>
      <w:pPr>
        <w:pStyle w:val="ListParagraph"/>
        <w:numPr>
          <w:ilvl w:val="0"/>
          <w:numId w:val="2"/>
        </w:numPr>
        <w:spacing w:after="60"/>
      </w:pPr>
      <w:r>
        <w:t xml:space="preserve">Instagram and LinkedIn have no safe, ToS-compliant API for automated outbound messaging — those touches remain manual indefinitely, not just in v1.</w:t>
      </w:r>
    </w:p>
    <w:p>
      <w:pPr>
        <w:pStyle w:val="ListParagraph"/>
        <w:numPr>
          <w:ilvl w:val="0"/>
          <w:numId w:val="2"/>
        </w:numPr>
        <w:spacing w:after="60"/>
      </w:pPr>
      <w:r>
        <w:t xml:space="preserve">Email sending at volume requires a warmed-up sending domain/inbox to avoid spam flags; this needs lead time before Phase 4 goes live.</w:t>
      </w:r>
    </w:p>
    <w:p>
      <w:pPr>
        <w:pStyle w:val="ListParagraph"/>
        <w:numPr>
          <w:ilvl w:val="0"/>
          <w:numId w:val="2"/>
        </w:numPr>
        <w:spacing w:after="60"/>
      </w:pPr>
      <w:r>
        <w:t xml:space="preserve">Google Places/Maps API and Claude API usage both carry per-call costs that scale with prospecting volume — needs a budget ceiling per week.</w:t>
      </w:r>
    </w:p>
    <w:p>
      <w:pPr>
        <w:pStyle w:val="ListParagraph"/>
        <w:numPr>
          <w:ilvl w:val="0"/>
          <w:numId w:val="2"/>
        </w:numPr>
        <w:spacing w:after="60"/>
      </w:pPr>
      <w:r>
        <w:t xml:space="preserve">Data quality from public sources (websites, Instagram, reviews) is inconsistent; scoring and drafting quality is bounded by what's actually findable per business.</w:t>
      </w:r>
    </w:p>
    <w:p>
      <w:pPr>
        <w:pStyle w:val="Heading1"/>
        <w:spacing w:after="160" w:before="360"/>
      </w:pPr>
      <w:r>
        <w:t xml:space="preserve">9. Dependencies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200"/>
      </w:tblGrid>
      <w:tr>
        <w:trPr>
          <w:tblHeader/>
        </w:trPr>
        <w:tc>
          <w:tcPr>
            <w:tcW w:type="dxa" w:w="3400"/>
            <w:shd w:fill="EEF2FF" w:val="clear"/>
            <w:tcMar>
              <w:top w:type="dxa" w:w="80"/>
              <w:left w:type="dxa" w:w="100"/>
              <w:bottom w:type="dxa" w:w="80"/>
              <w:right w:type="dxa" w:w="100"/>
            </w:tcMar>
          </w:tcPr>
          <w:p>
            <w:r>
              <w:rPr>
                <w:b/>
                <w:bCs/>
                <w:sz w:val="18"/>
                <w:szCs w:val="18"/>
              </w:rPr>
              <w:t xml:space="preserve">Dependency</w:t>
            </w:r>
          </w:p>
        </w:tc>
        <w:tc>
          <w:tcPr>
            <w:tcW w:type="dxa" w:w="3200"/>
            <w:shd w:fill="EEF2FF" w:val="clear"/>
            <w:tcMar>
              <w:top w:type="dxa" w:w="80"/>
              <w:left w:type="dxa" w:w="100"/>
              <w:bottom w:type="dxa" w:w="80"/>
              <w:right w:type="dxa" w:w="100"/>
            </w:tcMar>
          </w:tcPr>
          <w:p>
            <w:r>
              <w:rPr>
                <w:b/>
                <w:bCs/>
                <w:sz w:val="18"/>
                <w:szCs w:val="18"/>
              </w:rPr>
              <w:t xml:space="preserve">Purpose</w:t>
            </w:r>
          </w:p>
        </w:tc>
        <w:tc>
          <w:tcPr>
            <w:tcW w:type="dxa" w:w="2200"/>
            <w:shd w:fill="EEF2FF" w:val="clear"/>
            <w:tcMar>
              <w:top w:type="dxa" w:w="80"/>
              <w:left w:type="dxa" w:w="100"/>
              <w:bottom w:type="dxa" w:w="80"/>
              <w:right w:type="dxa" w:w="100"/>
            </w:tcMar>
          </w:tcPr>
          <w:p>
            <w:r>
              <w:rPr>
                <w:b/>
                <w:bCs/>
                <w:sz w:val="18"/>
                <w:szCs w:val="18"/>
              </w:rPr>
              <w:t xml:space="preserve">Needed by</w:t>
            </w:r>
          </w:p>
        </w:tc>
      </w:tr>
      <w:tr>
        <w:tc>
          <w:tcPr>
            <w:tcW w:type="dxa" w:w="3400"/>
            <w:tcMar>
              <w:top w:type="dxa" w:w="80"/>
              <w:left w:type="dxa" w:w="100"/>
              <w:bottom w:type="dxa" w:w="80"/>
              <w:right w:type="dxa" w:w="100"/>
            </w:tcMar>
          </w:tcPr>
          <w:p>
            <w:r>
              <w:rPr>
                <w:b w:val="false"/>
                <w:bCs w:val="false"/>
                <w:sz w:val="19"/>
                <w:szCs w:val="19"/>
              </w:rPr>
              <w:t xml:space="preserve">Google Places/Maps API access</w:t>
            </w:r>
          </w:p>
        </w:tc>
        <w:tc>
          <w:tcPr>
            <w:tcW w:type="dxa" w:w="3200"/>
            <w:tcMar>
              <w:top w:type="dxa" w:w="80"/>
              <w:left w:type="dxa" w:w="100"/>
              <w:bottom w:type="dxa" w:w="80"/>
              <w:right w:type="dxa" w:w="100"/>
            </w:tcMar>
          </w:tcPr>
          <w:p>
            <w:r>
              <w:rPr>
                <w:b w:val="false"/>
                <w:bCs w:val="false"/>
                <w:sz w:val="19"/>
                <w:szCs w:val="19"/>
              </w:rPr>
              <w:t xml:space="preserve">Prospect sourcing</w:t>
            </w:r>
          </w:p>
        </w:tc>
        <w:tc>
          <w:tcPr>
            <w:tcW w:type="dxa" w:w="2200"/>
            <w:tcMar>
              <w:top w:type="dxa" w:w="80"/>
              <w:left w:type="dxa" w:w="100"/>
              <w:bottom w:type="dxa" w:w="80"/>
              <w:right w:type="dxa" w:w="100"/>
            </w:tcMar>
          </w:tcPr>
          <w:p>
            <w:r>
              <w:rPr>
                <w:b w:val="false"/>
                <w:bCs w:val="false"/>
                <w:sz w:val="19"/>
                <w:szCs w:val="19"/>
              </w:rPr>
              <w:t xml:space="preserve">Phase 1</w:t>
            </w:r>
          </w:p>
        </w:tc>
      </w:tr>
      <w:tr>
        <w:tc>
          <w:tcPr>
            <w:tcW w:type="dxa" w:w="3400"/>
            <w:tcMar>
              <w:top w:type="dxa" w:w="80"/>
              <w:left w:type="dxa" w:w="100"/>
              <w:bottom w:type="dxa" w:w="80"/>
              <w:right w:type="dxa" w:w="100"/>
            </w:tcMar>
          </w:tcPr>
          <w:p>
            <w:r>
              <w:rPr>
                <w:b w:val="false"/>
                <w:bCs w:val="false"/>
                <w:sz w:val="19"/>
                <w:szCs w:val="19"/>
              </w:rPr>
              <w:t xml:space="preserve">Google Sheets API / account</w:t>
            </w:r>
          </w:p>
        </w:tc>
        <w:tc>
          <w:tcPr>
            <w:tcW w:type="dxa" w:w="3200"/>
            <w:tcMar>
              <w:top w:type="dxa" w:w="80"/>
              <w:left w:type="dxa" w:w="100"/>
              <w:bottom w:type="dxa" w:w="80"/>
              <w:right w:type="dxa" w:w="100"/>
            </w:tcMar>
          </w:tcPr>
          <w:p>
            <w:r>
              <w:rPr>
                <w:b w:val="false"/>
                <w:bCs w:val="false"/>
                <w:sz w:val="19"/>
                <w:szCs w:val="19"/>
              </w:rPr>
              <w:t xml:space="preserve">System of record</w:t>
            </w:r>
          </w:p>
        </w:tc>
        <w:tc>
          <w:tcPr>
            <w:tcW w:type="dxa" w:w="2200"/>
            <w:tcMar>
              <w:top w:type="dxa" w:w="80"/>
              <w:left w:type="dxa" w:w="100"/>
              <w:bottom w:type="dxa" w:w="80"/>
              <w:right w:type="dxa" w:w="100"/>
            </w:tcMar>
          </w:tcPr>
          <w:p>
            <w:r>
              <w:rPr>
                <w:b w:val="false"/>
                <w:bCs w:val="false"/>
                <w:sz w:val="19"/>
                <w:szCs w:val="19"/>
              </w:rPr>
              <w:t xml:space="preserve">Phase 1</w:t>
            </w:r>
          </w:p>
        </w:tc>
      </w:tr>
      <w:tr>
        <w:tc>
          <w:tcPr>
            <w:tcW w:type="dxa" w:w="3400"/>
            <w:tcMar>
              <w:top w:type="dxa" w:w="80"/>
              <w:left w:type="dxa" w:w="100"/>
              <w:bottom w:type="dxa" w:w="80"/>
              <w:right w:type="dxa" w:w="100"/>
            </w:tcMar>
          </w:tcPr>
          <w:p>
            <w:r>
              <w:rPr>
                <w:b w:val="false"/>
                <w:bCs w:val="false"/>
                <w:sz w:val="19"/>
                <w:szCs w:val="19"/>
              </w:rPr>
              <w:t xml:space="preserve">Claude API key</w:t>
            </w:r>
          </w:p>
        </w:tc>
        <w:tc>
          <w:tcPr>
            <w:tcW w:type="dxa" w:w="3200"/>
            <w:tcMar>
              <w:top w:type="dxa" w:w="80"/>
              <w:left w:type="dxa" w:w="100"/>
              <w:bottom w:type="dxa" w:w="80"/>
              <w:right w:type="dxa" w:w="100"/>
            </w:tcMar>
          </w:tcPr>
          <w:p>
            <w:r>
              <w:rPr>
                <w:b w:val="false"/>
                <w:bCs w:val="false"/>
                <w:sz w:val="19"/>
                <w:szCs w:val="19"/>
              </w:rPr>
              <w:t xml:space="preserve">Scoring, extraction, drafting</w:t>
            </w:r>
          </w:p>
        </w:tc>
        <w:tc>
          <w:tcPr>
            <w:tcW w:type="dxa" w:w="2200"/>
            <w:tcMar>
              <w:top w:type="dxa" w:w="80"/>
              <w:left w:type="dxa" w:w="100"/>
              <w:bottom w:type="dxa" w:w="80"/>
              <w:right w:type="dxa" w:w="100"/>
            </w:tcMar>
          </w:tcPr>
          <w:p>
            <w:r>
              <w:rPr>
                <w:b w:val="false"/>
                <w:bCs w:val="false"/>
                <w:sz w:val="19"/>
                <w:szCs w:val="19"/>
              </w:rPr>
              <w:t xml:space="preserve">Phase 1</w:t>
            </w:r>
          </w:p>
        </w:tc>
      </w:tr>
      <w:tr>
        <w:tc>
          <w:tcPr>
            <w:tcW w:type="dxa" w:w="3400"/>
            <w:tcMar>
              <w:top w:type="dxa" w:w="80"/>
              <w:left w:type="dxa" w:w="100"/>
              <w:bottom w:type="dxa" w:w="80"/>
              <w:right w:type="dxa" w:w="100"/>
            </w:tcMar>
          </w:tcPr>
          <w:p>
            <w:r>
              <w:rPr>
                <w:b w:val="false"/>
                <w:bCs w:val="false"/>
                <w:sz w:val="19"/>
                <w:szCs w:val="19"/>
              </w:rPr>
              <w:t xml:space="preserve">n8n instance (Cloud or self-hosted)</w:t>
            </w:r>
          </w:p>
        </w:tc>
        <w:tc>
          <w:tcPr>
            <w:tcW w:type="dxa" w:w="3200"/>
            <w:tcMar>
              <w:top w:type="dxa" w:w="80"/>
              <w:left w:type="dxa" w:w="100"/>
              <w:bottom w:type="dxa" w:w="80"/>
              <w:right w:type="dxa" w:w="100"/>
            </w:tcMar>
          </w:tcPr>
          <w:p>
            <w:r>
              <w:rPr>
                <w:b w:val="false"/>
                <w:bCs w:val="false"/>
                <w:sz w:val="19"/>
                <w:szCs w:val="19"/>
              </w:rPr>
              <w:t xml:space="preserve">Workflow orchestration</w:t>
            </w:r>
          </w:p>
        </w:tc>
        <w:tc>
          <w:tcPr>
            <w:tcW w:type="dxa" w:w="2200"/>
            <w:tcMar>
              <w:top w:type="dxa" w:w="80"/>
              <w:left w:type="dxa" w:w="100"/>
              <w:bottom w:type="dxa" w:w="80"/>
              <w:right w:type="dxa" w:w="100"/>
            </w:tcMar>
          </w:tcPr>
          <w:p>
            <w:r>
              <w:rPr>
                <w:b w:val="false"/>
                <w:bCs w:val="false"/>
                <w:sz w:val="19"/>
                <w:szCs w:val="19"/>
              </w:rPr>
              <w:t xml:space="preserve">Phase 1</w:t>
            </w:r>
          </w:p>
        </w:tc>
      </w:tr>
      <w:tr>
        <w:tc>
          <w:tcPr>
            <w:tcW w:type="dxa" w:w="3400"/>
            <w:tcMar>
              <w:top w:type="dxa" w:w="80"/>
              <w:left w:type="dxa" w:w="100"/>
              <w:bottom w:type="dxa" w:w="80"/>
              <w:right w:type="dxa" w:w="100"/>
            </w:tcMar>
          </w:tcPr>
          <w:p>
            <w:r>
              <w:rPr>
                <w:b w:val="false"/>
                <w:bCs w:val="false"/>
                <w:sz w:val="19"/>
                <w:szCs w:val="19"/>
              </w:rPr>
              <w:t xml:space="preserve">Gmail/sending account (warmed domain)</w:t>
            </w:r>
          </w:p>
        </w:tc>
        <w:tc>
          <w:tcPr>
            <w:tcW w:type="dxa" w:w="3200"/>
            <w:tcMar>
              <w:top w:type="dxa" w:w="80"/>
              <w:left w:type="dxa" w:w="100"/>
              <w:bottom w:type="dxa" w:w="80"/>
              <w:right w:type="dxa" w:w="100"/>
            </w:tcMar>
          </w:tcPr>
          <w:p>
            <w:r>
              <w:rPr>
                <w:b w:val="false"/>
                <w:bCs w:val="false"/>
                <w:sz w:val="19"/>
                <w:szCs w:val="19"/>
              </w:rPr>
              <w:t xml:space="preserve">Automated email send</w:t>
            </w:r>
          </w:p>
        </w:tc>
        <w:tc>
          <w:tcPr>
            <w:tcW w:type="dxa" w:w="2200"/>
            <w:tcMar>
              <w:top w:type="dxa" w:w="80"/>
              <w:left w:type="dxa" w:w="100"/>
              <w:bottom w:type="dxa" w:w="80"/>
              <w:right w:type="dxa" w:w="100"/>
            </w:tcMar>
          </w:tcPr>
          <w:p>
            <w:r>
              <w:rPr>
                <w:b w:val="false"/>
                <w:bCs w:val="false"/>
                <w:sz w:val="19"/>
                <w:szCs w:val="19"/>
              </w:rPr>
              <w:t xml:space="preserve">Phase 4</w:t>
            </w:r>
          </w:p>
        </w:tc>
      </w:tr>
    </w:tbl>
    <w:p>
      <w:pPr>
        <w:pStyle w:val="Heading1"/>
        <w:spacing w:after="160" w:before="360"/>
      </w:pPr>
      <w:r>
        <w:t xml:space="preserve">10. Risks &amp; Mitigations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5300"/>
      </w:tblGrid>
      <w:tr>
        <w:trPr>
          <w:tblHeader/>
        </w:trPr>
        <w:tc>
          <w:tcPr>
            <w:tcW w:type="dxa" w:w="3500"/>
            <w:shd w:fill="EEF2FF" w:val="clear"/>
            <w:tcMar>
              <w:top w:type="dxa" w:w="80"/>
              <w:left w:type="dxa" w:w="100"/>
              <w:bottom w:type="dxa" w:w="80"/>
              <w:right w:type="dxa" w:w="100"/>
            </w:tcMar>
          </w:tcPr>
          <w:p>
            <w:r>
              <w:rPr>
                <w:b/>
                <w:bCs/>
                <w:sz w:val="18"/>
                <w:szCs w:val="18"/>
              </w:rPr>
              <w:t xml:space="preserve">Risk</w:t>
            </w:r>
          </w:p>
        </w:tc>
        <w:tc>
          <w:tcPr>
            <w:tcW w:type="dxa" w:w="5300"/>
            <w:shd w:fill="EEF2FF" w:val="clear"/>
            <w:tcMar>
              <w:top w:type="dxa" w:w="80"/>
              <w:left w:type="dxa" w:w="100"/>
              <w:bottom w:type="dxa" w:w="80"/>
              <w:right w:type="dxa" w:w="100"/>
            </w:tcMar>
          </w:tcPr>
          <w:p>
            <w:r>
              <w:rPr>
                <w:b/>
                <w:bCs/>
                <w:sz w:val="18"/>
                <w:szCs w:val="18"/>
              </w:rPr>
              <w:t xml:space="preserve">Mitigation</w:t>
            </w:r>
          </w:p>
        </w:tc>
      </w:tr>
      <w:tr>
        <w:tc>
          <w:tcPr>
            <w:tcW w:type="dxa" w:w="3500"/>
            <w:tcMar>
              <w:top w:type="dxa" w:w="80"/>
              <w:left w:type="dxa" w:w="100"/>
              <w:bottom w:type="dxa" w:w="80"/>
              <w:right w:type="dxa" w:w="100"/>
            </w:tcMar>
          </w:tcPr>
          <w:p>
            <w:r>
              <w:rPr>
                <w:b w:val="false"/>
                <w:bCs w:val="false"/>
                <w:sz w:val="19"/>
                <w:szCs w:val="19"/>
              </w:rPr>
              <w:t xml:space="preserve">Email deliverability/spam flags damage sender reputation</w:t>
            </w:r>
          </w:p>
        </w:tc>
        <w:tc>
          <w:tcPr>
            <w:tcW w:type="dxa" w:w="5300"/>
            <w:tcMar>
              <w:top w:type="dxa" w:w="80"/>
              <w:left w:type="dxa" w:w="100"/>
              <w:bottom w:type="dxa" w:w="80"/>
              <w:right w:type="dxa" w:w="100"/>
            </w:tcMar>
          </w:tcPr>
          <w:p>
            <w:r>
              <w:rPr>
                <w:b w:val="false"/>
                <w:bCs w:val="false"/>
                <w:sz w:val="19"/>
                <w:szCs w:val="19"/>
              </w:rPr>
              <w:t xml:space="preserve">Warm up domain before Phase 4; cap daily send volume; monitor bounce/spam rate</w:t>
            </w:r>
          </w:p>
        </w:tc>
      </w:tr>
      <w:tr>
        <w:tc>
          <w:tcPr>
            <w:tcW w:type="dxa" w:w="3500"/>
            <w:tcMar>
              <w:top w:type="dxa" w:w="80"/>
              <w:left w:type="dxa" w:w="100"/>
              <w:bottom w:type="dxa" w:w="80"/>
              <w:right w:type="dxa" w:w="100"/>
            </w:tcMar>
          </w:tcPr>
          <w:p>
            <w:r>
              <w:rPr>
                <w:b w:val="false"/>
                <w:bCs w:val="false"/>
                <w:sz w:val="19"/>
                <w:szCs w:val="19"/>
              </w:rPr>
              <w:t xml:space="preserve">Poor enrichment data leads to inaccurate scoring and generic-feeling outreach</w:t>
            </w:r>
          </w:p>
        </w:tc>
        <w:tc>
          <w:tcPr>
            <w:tcW w:type="dxa" w:w="5300"/>
            <w:tcMar>
              <w:top w:type="dxa" w:w="80"/>
              <w:left w:type="dxa" w:w="100"/>
              <w:bottom w:type="dxa" w:w="80"/>
              <w:right w:type="dxa" w:w="100"/>
            </w:tcMar>
          </w:tcPr>
          <w:p>
            <w:r>
              <w:rPr>
                <w:b w:val="false"/>
                <w:bCs w:val="false"/>
                <w:sz w:val="19"/>
                <w:szCs w:val="19"/>
              </w:rPr>
              <w:t xml:space="preserve">Human spot-checks weekly during Phases 1–2; keep approval gate on drafts through Phase 3</w:t>
            </w:r>
          </w:p>
        </w:tc>
      </w:tr>
      <w:tr>
        <w:tc>
          <w:tcPr>
            <w:tcW w:type="dxa" w:w="3500"/>
            <w:tcMar>
              <w:top w:type="dxa" w:w="80"/>
              <w:left w:type="dxa" w:w="100"/>
              <w:bottom w:type="dxa" w:w="80"/>
              <w:right w:type="dxa" w:w="100"/>
            </w:tcMar>
          </w:tcPr>
          <w:p>
            <w:r>
              <w:rPr>
                <w:b w:val="false"/>
                <w:bCs w:val="false"/>
                <w:sz w:val="19"/>
                <w:szCs w:val="19"/>
              </w:rPr>
              <w:t xml:space="preserve">API costs scale faster than pipeline value as volume increases</w:t>
            </w:r>
          </w:p>
        </w:tc>
        <w:tc>
          <w:tcPr>
            <w:tcW w:type="dxa" w:w="5300"/>
            <w:tcMar>
              <w:top w:type="dxa" w:w="80"/>
              <w:left w:type="dxa" w:w="100"/>
              <w:bottom w:type="dxa" w:w="80"/>
              <w:right w:type="dxa" w:w="100"/>
            </w:tcMar>
          </w:tcPr>
          <w:p>
            <w:r>
              <w:rPr>
                <w:b w:val="false"/>
                <w:bCs w:val="false"/>
                <w:sz w:val="19"/>
                <w:szCs w:val="19"/>
              </w:rPr>
              <w:t xml:space="preserve">Set a weekly cost ceiling; review cost-per-qualified-prospect monthly</w:t>
            </w:r>
          </w:p>
        </w:tc>
      </w:tr>
      <w:tr>
        <w:tc>
          <w:tcPr>
            <w:tcW w:type="dxa" w:w="3500"/>
            <w:tcMar>
              <w:top w:type="dxa" w:w="80"/>
              <w:left w:type="dxa" w:w="100"/>
              <w:bottom w:type="dxa" w:w="80"/>
              <w:right w:type="dxa" w:w="100"/>
            </w:tcMar>
          </w:tcPr>
          <w:p>
            <w:r>
              <w:rPr>
                <w:b w:val="false"/>
                <w:bCs w:val="false"/>
                <w:sz w:val="19"/>
                <w:szCs w:val="19"/>
              </w:rPr>
              <w:t xml:space="preserve">Automation produces high volume of low-quality outreach, hurting brand/reputation</w:t>
            </w:r>
          </w:p>
        </w:tc>
        <w:tc>
          <w:tcPr>
            <w:tcW w:type="dxa" w:w="5300"/>
            <w:tcMar>
              <w:top w:type="dxa" w:w="80"/>
              <w:left w:type="dxa" w:w="100"/>
              <w:bottom w:type="dxa" w:w="80"/>
              <w:right w:type="dxa" w:w="100"/>
            </w:tcMar>
          </w:tcPr>
          <w:p>
            <w:r>
              <w:rPr>
                <w:b w:val="false"/>
                <w:bCs w:val="false"/>
                <w:sz w:val="19"/>
                <w:szCs w:val="19"/>
              </w:rPr>
              <w:t xml:space="preserve">Approval gate stays on until draft usability target is consistently met; no fully autonomous sending in v1</w:t>
            </w:r>
          </w:p>
        </w:tc>
      </w:tr>
      <w:tr>
        <w:tc>
          <w:tcPr>
            <w:tcW w:type="dxa" w:w="3500"/>
            <w:tcMar>
              <w:top w:type="dxa" w:w="80"/>
              <w:left w:type="dxa" w:w="100"/>
              <w:bottom w:type="dxa" w:w="80"/>
              <w:right w:type="dxa" w:w="100"/>
            </w:tcMar>
          </w:tcPr>
          <w:p>
            <w:r>
              <w:rPr>
                <w:b w:val="false"/>
                <w:bCs w:val="false"/>
                <w:sz w:val="19"/>
                <w:szCs w:val="19"/>
              </w:rPr>
              <w:t xml:space="preserve">Google Sheets becomes a bottleneck at scale (row limits, concurrency)</w:t>
            </w:r>
          </w:p>
        </w:tc>
        <w:tc>
          <w:tcPr>
            <w:tcW w:type="dxa" w:w="5300"/>
            <w:tcMar>
              <w:top w:type="dxa" w:w="80"/>
              <w:left w:type="dxa" w:w="100"/>
              <w:bottom w:type="dxa" w:w="80"/>
              <w:right w:type="dxa" w:w="100"/>
            </w:tcMar>
          </w:tcPr>
          <w:p>
            <w:r>
              <w:rPr>
                <w:b w:val="false"/>
                <w:bCs w:val="false"/>
                <w:sz w:val="19"/>
                <w:szCs w:val="19"/>
              </w:rPr>
              <w:t xml:space="preserve">Monitor row count/latency; pre-plan CRM migration path (out of scope for v1, but not unplanned)</w:t>
            </w:r>
          </w:p>
        </w:tc>
      </w:tr>
    </w:tbl>
    <w:p>
      <w:pPr>
        <w:pStyle w:val="Heading1"/>
        <w:spacing w:after="160" w:before="360"/>
      </w:pPr>
      <w:r>
        <w:t xml:space="preserve">11. Milestones / Rollout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600"/>
      </w:tblGrid>
      <w:tr>
        <w:trPr>
          <w:tblHeader/>
        </w:trPr>
        <w:tc>
          <w:tcPr>
            <w:tcW w:type="dxa" w:w="4000"/>
            <w:shd w:fill="EEF2FF" w:val="clear"/>
            <w:tcMar>
              <w:top w:type="dxa" w:w="80"/>
              <w:left w:type="dxa" w:w="100"/>
              <w:bottom w:type="dxa" w:w="80"/>
              <w:right w:type="dxa" w:w="100"/>
            </w:tcMar>
          </w:tcPr>
          <w:p>
            <w:r>
              <w:rPr>
                <w:b/>
                <w:bCs/>
                <w:sz w:val="18"/>
                <w:szCs w:val="18"/>
              </w:rPr>
              <w:t xml:space="preserve">Milestone</w:t>
            </w:r>
          </w:p>
        </w:tc>
        <w:tc>
          <w:tcPr>
            <w:tcW w:type="dxa" w:w="2200"/>
            <w:shd w:fill="EEF2FF" w:val="clear"/>
            <w:tcMar>
              <w:top w:type="dxa" w:w="80"/>
              <w:left w:type="dxa" w:w="100"/>
              <w:bottom w:type="dxa" w:w="80"/>
              <w:right w:type="dxa" w:w="100"/>
            </w:tcMar>
          </w:tcPr>
          <w:p>
            <w:r>
              <w:rPr>
                <w:b/>
                <w:bCs/>
                <w:sz w:val="18"/>
                <w:szCs w:val="18"/>
              </w:rPr>
              <w:t xml:space="preserve">Target window</w:t>
            </w:r>
          </w:p>
        </w:tc>
        <w:tc>
          <w:tcPr>
            <w:tcW w:type="dxa" w:w="3600"/>
            <w:shd w:fill="EEF2FF" w:val="clear"/>
            <w:tcMar>
              <w:top w:type="dxa" w:w="80"/>
              <w:left w:type="dxa" w:w="100"/>
              <w:bottom w:type="dxa" w:w="80"/>
              <w:right w:type="dxa" w:w="100"/>
            </w:tcMar>
          </w:tcPr>
          <w:p>
            <w:r>
              <w:rPr>
                <w:b/>
                <w:bCs/>
                <w:sz w:val="18"/>
                <w:szCs w:val="18"/>
              </w:rPr>
              <w:t xml:space="preserve">Go/No-Go check</w:t>
            </w:r>
          </w:p>
        </w:tc>
      </w:tr>
      <w:tr>
        <w:tc>
          <w:tcPr>
            <w:tcW w:type="dxa" w:w="4000"/>
            <w:tcMar>
              <w:top w:type="dxa" w:w="80"/>
              <w:left w:type="dxa" w:w="100"/>
              <w:bottom w:type="dxa" w:w="80"/>
              <w:right w:type="dxa" w:w="100"/>
            </w:tcMar>
          </w:tcPr>
          <w:p>
            <w:r>
              <w:rPr>
                <w:b w:val="false"/>
                <w:bCs w:val="false"/>
                <w:sz w:val="19"/>
                <w:szCs w:val="19"/>
              </w:rPr>
              <w:t xml:space="preserve">Sheet template + Phase 1 (Sourcing + Scoring) live</w:t>
            </w:r>
          </w:p>
        </w:tc>
        <w:tc>
          <w:tcPr>
            <w:tcW w:type="dxa" w:w="2200"/>
            <w:tcMar>
              <w:top w:type="dxa" w:w="80"/>
              <w:left w:type="dxa" w:w="100"/>
              <w:bottom w:type="dxa" w:w="80"/>
              <w:right w:type="dxa" w:w="100"/>
            </w:tcMar>
          </w:tcPr>
          <w:p>
            <w:r>
              <w:rPr>
                <w:b w:val="false"/>
                <w:bCs w:val="false"/>
                <w:sz w:val="19"/>
                <w:szCs w:val="19"/>
              </w:rPr>
              <w:t xml:space="preserve">Weeks 1–2</w:t>
            </w:r>
          </w:p>
        </w:tc>
        <w:tc>
          <w:tcPr>
            <w:tcW w:type="dxa" w:w="3600"/>
            <w:tcMar>
              <w:top w:type="dxa" w:w="80"/>
              <w:left w:type="dxa" w:w="100"/>
              <w:bottom w:type="dxa" w:w="80"/>
              <w:right w:type="dxa" w:w="100"/>
            </w:tcMar>
          </w:tcPr>
          <w:p>
            <w:r>
              <w:rPr>
                <w:b w:val="false"/>
                <w:bCs w:val="false"/>
                <w:sz w:val="19"/>
                <w:szCs w:val="19"/>
              </w:rPr>
              <w:t xml:space="preserve">100+ prospects sourced, score spot-check ≥85% agreement</w:t>
            </w:r>
          </w:p>
        </w:tc>
      </w:tr>
      <w:tr>
        <w:tc>
          <w:tcPr>
            <w:tcW w:type="dxa" w:w="4000"/>
            <w:tcMar>
              <w:top w:type="dxa" w:w="80"/>
              <w:left w:type="dxa" w:w="100"/>
              <w:bottom w:type="dxa" w:w="80"/>
              <w:right w:type="dxa" w:w="100"/>
            </w:tcMar>
          </w:tcPr>
          <w:p>
            <w:r>
              <w:rPr>
                <w:b w:val="false"/>
                <w:bCs w:val="false"/>
                <w:sz w:val="19"/>
                <w:szCs w:val="19"/>
              </w:rPr>
              <w:t xml:space="preserve">Phase 2 (Enrichment) live</w:t>
            </w:r>
          </w:p>
        </w:tc>
        <w:tc>
          <w:tcPr>
            <w:tcW w:type="dxa" w:w="2200"/>
            <w:tcMar>
              <w:top w:type="dxa" w:w="80"/>
              <w:left w:type="dxa" w:w="100"/>
              <w:bottom w:type="dxa" w:w="80"/>
              <w:right w:type="dxa" w:w="100"/>
            </w:tcMar>
          </w:tcPr>
          <w:p>
            <w:r>
              <w:rPr>
                <w:b w:val="false"/>
                <w:bCs w:val="false"/>
                <w:sz w:val="19"/>
                <w:szCs w:val="19"/>
              </w:rPr>
              <w:t xml:space="preserve">Weeks 3–4</w:t>
            </w:r>
          </w:p>
        </w:tc>
        <w:tc>
          <w:tcPr>
            <w:tcW w:type="dxa" w:w="3600"/>
            <w:tcMar>
              <w:top w:type="dxa" w:w="80"/>
              <w:left w:type="dxa" w:w="100"/>
              <w:bottom w:type="dxa" w:w="80"/>
              <w:right w:type="dxa" w:w="100"/>
            </w:tcMar>
          </w:tcPr>
          <w:p>
            <w:r>
              <w:rPr>
                <w:b w:val="false"/>
                <w:bCs w:val="false"/>
                <w:sz w:val="19"/>
                <w:szCs w:val="19"/>
              </w:rPr>
              <w:t xml:space="preserve">≥90% of scored prospects auto-enriched without manual lookup</w:t>
            </w:r>
          </w:p>
        </w:tc>
      </w:tr>
      <w:tr>
        <w:tc>
          <w:tcPr>
            <w:tcW w:type="dxa" w:w="4000"/>
            <w:tcMar>
              <w:top w:type="dxa" w:w="80"/>
              <w:left w:type="dxa" w:w="100"/>
              <w:bottom w:type="dxa" w:w="80"/>
              <w:right w:type="dxa" w:w="100"/>
            </w:tcMar>
          </w:tcPr>
          <w:p>
            <w:r>
              <w:rPr>
                <w:b w:val="false"/>
                <w:bCs w:val="false"/>
                <w:sz w:val="19"/>
                <w:szCs w:val="19"/>
              </w:rPr>
              <w:t xml:space="preserve">Phase 3 (Drafting) live, human-approved sends begin</w:t>
            </w:r>
          </w:p>
        </w:tc>
        <w:tc>
          <w:tcPr>
            <w:tcW w:type="dxa" w:w="2200"/>
            <w:tcMar>
              <w:top w:type="dxa" w:w="80"/>
              <w:left w:type="dxa" w:w="100"/>
              <w:bottom w:type="dxa" w:w="80"/>
              <w:right w:type="dxa" w:w="100"/>
            </w:tcMar>
          </w:tcPr>
          <w:p>
            <w:r>
              <w:rPr>
                <w:b w:val="false"/>
                <w:bCs w:val="false"/>
                <w:sz w:val="19"/>
                <w:szCs w:val="19"/>
              </w:rPr>
              <w:t xml:space="preserve">Weeks 5–6</w:t>
            </w:r>
          </w:p>
        </w:tc>
        <w:tc>
          <w:tcPr>
            <w:tcW w:type="dxa" w:w="3600"/>
            <w:tcMar>
              <w:top w:type="dxa" w:w="80"/>
              <w:left w:type="dxa" w:w="100"/>
              <w:bottom w:type="dxa" w:w="80"/>
              <w:right w:type="dxa" w:w="100"/>
            </w:tcMar>
          </w:tcPr>
          <w:p>
            <w:r>
              <w:rPr>
                <w:b w:val="false"/>
                <w:bCs w:val="false"/>
                <w:sz w:val="19"/>
                <w:szCs w:val="19"/>
              </w:rPr>
              <w:t xml:space="preserve">≥70% of drafts usable with no/minor edits; first real outreach sent</w:t>
            </w:r>
          </w:p>
        </w:tc>
      </w:tr>
      <w:tr>
        <w:tc>
          <w:tcPr>
            <w:tcW w:type="dxa" w:w="4000"/>
            <w:tcMar>
              <w:top w:type="dxa" w:w="80"/>
              <w:left w:type="dxa" w:w="100"/>
              <w:bottom w:type="dxa" w:w="80"/>
              <w:right w:type="dxa" w:w="100"/>
            </w:tcMar>
          </w:tcPr>
          <w:p>
            <w:r>
              <w:rPr>
                <w:b w:val="false"/>
                <w:bCs w:val="false"/>
                <w:sz w:val="19"/>
                <w:szCs w:val="19"/>
              </w:rPr>
              <w:t xml:space="preserve">Phase 4 (Sequencing + Metrics) live</w:t>
            </w:r>
          </w:p>
        </w:tc>
        <w:tc>
          <w:tcPr>
            <w:tcW w:type="dxa" w:w="2200"/>
            <w:tcMar>
              <w:top w:type="dxa" w:w="80"/>
              <w:left w:type="dxa" w:w="100"/>
              <w:bottom w:type="dxa" w:w="80"/>
              <w:right w:type="dxa" w:w="100"/>
            </w:tcMar>
          </w:tcPr>
          <w:p>
            <w:r>
              <w:rPr>
                <w:b w:val="false"/>
                <w:bCs w:val="false"/>
                <w:sz w:val="19"/>
                <w:szCs w:val="19"/>
              </w:rPr>
              <w:t xml:space="preserve">Weeks 7–8</w:t>
            </w:r>
          </w:p>
        </w:tc>
        <w:tc>
          <w:tcPr>
            <w:tcW w:type="dxa" w:w="3600"/>
            <w:tcMar>
              <w:top w:type="dxa" w:w="80"/>
              <w:left w:type="dxa" w:w="100"/>
              <w:bottom w:type="dxa" w:w="80"/>
              <w:right w:type="dxa" w:w="100"/>
            </w:tcMar>
          </w:tcPr>
          <w:p>
            <w:r>
              <w:rPr>
                <w:b w:val="false"/>
                <w:bCs w:val="false"/>
                <w:sz w:val="19"/>
                <w:szCs w:val="19"/>
              </w:rPr>
              <w:t xml:space="preserve">Full 14-day cycle completes for first cohort; funnel dashboard populated automatically</w:t>
            </w:r>
          </w:p>
        </w:tc>
      </w:tr>
      <w:tr>
        <w:tc>
          <w:tcPr>
            <w:tcW w:type="dxa" w:w="4000"/>
            <w:tcMar>
              <w:top w:type="dxa" w:w="80"/>
              <w:left w:type="dxa" w:w="100"/>
              <w:bottom w:type="dxa" w:w="80"/>
              <w:right w:type="dxa" w:w="100"/>
            </w:tcMar>
          </w:tcPr>
          <w:p>
            <w:r>
              <w:rPr>
                <w:b w:val="false"/>
                <w:bCs w:val="false"/>
                <w:sz w:val="19"/>
                <w:szCs w:val="19"/>
              </w:rPr>
              <w:t xml:space="preserve">Review &amp; decide on Phase 2 vertical / scale-up</w:t>
            </w:r>
          </w:p>
        </w:tc>
        <w:tc>
          <w:tcPr>
            <w:tcW w:type="dxa" w:w="2200"/>
            <w:tcMar>
              <w:top w:type="dxa" w:w="80"/>
              <w:left w:type="dxa" w:w="100"/>
              <w:bottom w:type="dxa" w:w="80"/>
              <w:right w:type="dxa" w:w="100"/>
            </w:tcMar>
          </w:tcPr>
          <w:p>
            <w:r>
              <w:rPr>
                <w:b w:val="false"/>
                <w:bCs w:val="false"/>
                <w:sz w:val="19"/>
                <w:szCs w:val="19"/>
              </w:rPr>
              <w:t xml:space="preserve">Week 9+</w:t>
            </w:r>
          </w:p>
        </w:tc>
        <w:tc>
          <w:tcPr>
            <w:tcW w:type="dxa" w:w="3600"/>
            <w:tcMar>
              <w:top w:type="dxa" w:w="80"/>
              <w:left w:type="dxa" w:w="100"/>
              <w:bottom w:type="dxa" w:w="80"/>
              <w:right w:type="dxa" w:w="100"/>
            </w:tcMar>
          </w:tcPr>
          <w:p>
            <w:r>
              <w:rPr>
                <w:b w:val="false"/>
                <w:bCs w:val="false"/>
                <w:sz w:val="19"/>
                <w:szCs w:val="19"/>
              </w:rPr>
              <w:t xml:space="preserve">Tied to 90-day plan Month 2/3 targets</w:t>
            </w:r>
          </w:p>
        </w:tc>
      </w:tr>
    </w:tbl>
    <w:p>
      <w:pPr>
        <w:pStyle w:val="Heading1"/>
        <w:spacing w:after="160" w:before="360"/>
      </w:pPr>
      <w:r>
        <w:t xml:space="preserve">12. Open Questions</w:t>
      </w:r>
    </w:p>
    <w:p>
      <w:pPr>
        <w:pStyle w:val="ListParagraph"/>
        <w:numPr>
          <w:ilvl w:val="0"/>
          <w:numId w:val="3"/>
        </w:numPr>
        <w:spacing w:after="60"/>
      </w:pPr>
      <w:r>
        <w:t xml:space="preserve">At what prospect volume or row count does Google Sheets stop being viable, and what's the trigger to migrate to a CRM?</w:t>
      </w:r>
    </w:p>
    <w:p>
      <w:pPr>
        <w:pStyle w:val="ListParagraph"/>
        <w:numPr>
          <w:ilvl w:val="0"/>
          <w:numId w:val="3"/>
        </w:numPr>
        <w:spacing w:after="60"/>
      </w:pPr>
      <w:r>
        <w:t xml:space="preserve">What's the weekly budget ceiling for Places API + Claude API usage, and who reviews actual spend against it?</w:t>
      </w:r>
    </w:p>
    <w:p>
      <w:pPr>
        <w:pStyle w:val="ListParagraph"/>
        <w:numPr>
          <w:ilvl w:val="0"/>
          <w:numId w:val="3"/>
        </w:numPr>
        <w:spacing w:after="60"/>
      </w:pPr>
      <w:r>
        <w:t xml:space="preserve">Should the human-approval gate on outreach drafts ever be removed, or is it a permanent brand-safety control?</w:t>
      </w:r>
    </w:p>
    <w:p>
      <w:pPr>
        <w:pStyle w:val="ListParagraph"/>
        <w:numPr>
          <w:ilvl w:val="0"/>
          <w:numId w:val="3"/>
        </w:numPr>
        <w:spacing w:after="60"/>
      </w:pPr>
      <w:r>
        <w:t xml:space="preserve">Once med spa is validated, what's the process/criteria for adding a second vertical (real estate or home services, per the plan)?</w:t>
      </w:r>
    </w:p>
    <w:p>
      <w:pPr>
        <w:pStyle w:val="ListParagraph"/>
        <w:numPr>
          <w:ilvl w:val="0"/>
          <w:numId w:val="3"/>
        </w:numPr>
        <w:spacing w:after="60"/>
      </w:pPr>
      <w:r>
        <w:t xml:space="preserve">Who executes the manual Instagram/LinkedIn touches day to day, and how is that queue surfaced to them?</w:t>
      </w:r>
    </w:p>
    <w:p>
      <w:pPr>
        <w:pStyle w:val="Heading1"/>
        <w:spacing w:after="160" w:before="360"/>
      </w:pPr>
      <w:r>
        <w:t xml:space="preserve">13. Owner &amp; Stakeholders</w:t>
      </w:r>
    </w:p>
    <w:p>
      <w:pPr>
        <w:pStyle w:val="ListParagraph"/>
        <w:numPr>
          <w:ilvl w:val="0"/>
          <w:numId w:val="2"/>
        </w:numPr>
        <w:spacing w:after="60"/>
      </w:pPr>
      <w:r>
        <w:t xml:space="preserve">Product owner: Tiffany — approves scope changes, reviews weekly metrics.</w:t>
      </w:r>
    </w:p>
    <w:p>
      <w:pPr>
        <w:pStyle w:val="ListParagraph"/>
        <w:numPr>
          <w:ilvl w:val="0"/>
          <w:numId w:val="2"/>
        </w:numPr>
        <w:spacing w:after="60"/>
      </w:pPr>
      <w:r>
        <w:t xml:space="preserve">Build/implementation: Tiffany, with Claude assisting on n8n workflow build and content generation.</w:t>
      </w:r>
    </w:p>
    <w:p>
      <w:pPr>
        <w:pStyle w:val="ListParagraph"/>
        <w:numPr>
          <w:ilvl w:val="0"/>
          <w:numId w:val="2"/>
        </w:numPr>
        <w:spacing w:after="60"/>
      </w:pPr>
      <w:r>
        <w:t xml:space="preserve">Reviewer cadence: weekly check-in against the milestones in Section 11 during the 8-week build; ad hoc after that.</w:t>
      </w:r>
    </w:p>
    <w:p>
      <w:pPr>
        <w:pStyle w:val="Heading1"/>
        <w:spacing w:after="160" w:before="360"/>
      </w:pPr>
      <w:r>
        <w:t xml:space="preserve">14. Appendix &amp; References</w:t>
      </w:r>
    </w:p>
    <w:p>
      <w:pPr>
        <w:spacing w:after="160"/>
      </w:pPr>
      <w:r>
        <w:t xml:space="preserve">Technical implementation detail is intentionally kept out of this PRD and lives in a separate design doc, linked below, so the PRD stays focused on what and why while the technical design can evolve independently.</w:t>
      </w:r>
    </w:p>
    <w:p>
      <w:pPr>
        <w:pStyle w:val="ListParagraph"/>
        <w:numPr>
          <w:ilvl w:val="0"/>
          <w:numId w:val="2"/>
        </w:numPr>
        <w:spacing w:after="60"/>
      </w:pPr>
      <w:r>
        <w:t xml:space="preserve">Technical Design: n8n Workflow Design — AIaaS Client Outreach Automation (sent separately as n8n_workflow_design.html).</w:t>
      </w:r>
    </w:p>
    <w:p>
      <w:pPr>
        <w:pStyle w:val="ListParagraph"/>
        <w:numPr>
          <w:ilvl w:val="0"/>
          <w:numId w:val="2"/>
        </w:numPr>
        <w:spacing w:after="60"/>
      </w:pPr>
      <w:r>
        <w:t xml:space="preserve">Source strategy document: AIaaS_Small_Business_Client_Outreach_Plan.docx</w:t>
      </w:r>
    </w:p>
    <w:p>
      <w:pPr>
        <w:pStyle w:val="ListParagraph"/>
        <w:numPr>
          <w:ilvl w:val="0"/>
          <w:numId w:val="2"/>
        </w:numPr>
        <w:spacing w:after="60"/>
      </w:pPr>
      <w:r>
        <w:t xml:space="preserve">Market context: Digital-Solution-Market-Research-2026.docx (ICP, vertical prioritization, pricing benchmarks).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2026-08-14T15:49:30.929Z</dcterms:created>
  <dcterms:modified xsi:type="dcterms:W3CDTF">2026-08-14T15:49:30.929Z</dcterms:modified>
</cp:coreProperties>
</file>

<file path=docProps/custom.xml><?xml version="1.0" encoding="utf-8"?>
<Properties xmlns="http://schemas.openxmlformats.org/officeDocument/2006/custom-properties" xmlns:vt="http://schemas.openxmlformats.org/officeDocument/2006/docPropsVTypes"/>
</file>