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463609" wp14:paraId="3FAE107C" wp14:textId="5882599D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Pete Tomlins, PhD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London, UK | linkedin.com/in/petetomlins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Email: peter_tomlins@hotmail.com | Phone: +44 (0)7887 990032</w:t>
      </w:r>
    </w:p>
    <w:p xmlns:wp14="http://schemas.microsoft.com/office/word/2010/wordml" w:rsidP="11463609" wp14:paraId="78C2BB18" wp14:textId="1B891376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CTO / Head of AI | Building and Scaling AI-Driven SaaS Products for Commercial Impact</w:t>
      </w:r>
    </w:p>
    <w:p xmlns:wp14="http://schemas.microsoft.com/office/word/2010/wordml" wp14:paraId="3D5D33DC" wp14:textId="5E46E8F1"/>
    <w:p xmlns:wp14="http://schemas.microsoft.com/office/word/2010/wordml" w:rsidP="11463609" wp14:paraId="003AE38D" wp14:textId="679DC321">
      <w:pPr>
        <w:pStyle w:val="Heading3"/>
        <w:spacing w:before="281" w:beforeAutospacing="off" w:after="281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SUMMARY</w:t>
      </w:r>
    </w:p>
    <w:p xmlns:wp14="http://schemas.microsoft.com/office/word/2010/wordml" w:rsidP="11463609" wp14:paraId="6F6D618A" wp14:textId="7D55F84B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>AI and technology leader with 20+ years transforming deep science into FDA-cleared, revenue-generating digital health products.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Scaled cloud-based AI and MLOps platforms that accelerated delivery cycles and powered real-world clinical adoption.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Combines hands-on technical expertise with strategic leadership to drive growth, innovation, and investor confidence.</w:t>
      </w:r>
    </w:p>
    <w:p xmlns:wp14="http://schemas.microsoft.com/office/word/2010/wordml" wp14:paraId="2B730EAA" wp14:textId="14C92586"/>
    <w:p xmlns:wp14="http://schemas.microsoft.com/office/word/2010/wordml" w:rsidP="11463609" wp14:paraId="20BFAB97" wp14:textId="3B8FCFC8">
      <w:pPr>
        <w:pStyle w:val="Heading3"/>
        <w:spacing w:before="281" w:beforeAutospacing="off" w:after="281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ACHIEVEMENTS</w:t>
      </w:r>
    </w:p>
    <w:p xmlns:wp14="http://schemas.microsoft.com/office/word/2010/wordml" w:rsidP="11463609" wp14:paraId="040CC4AC" wp14:textId="47CBEF14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>• Delivered FDA-cleared AI SaaS product for coronary plaque analysis, enabling US market entry and commercial revenue.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Built cloud-native MLOps pipelines (AWS, SageMaker, MLflow) reducing deployment cycles by &gt;70%.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Automated analysis of 100,000+ CTAs through Agentic AI pipelines, resulting in publication in </w:t>
      </w:r>
      <w:r w:rsidRPr="11463609" w:rsidR="1EB514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Lancet</w:t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Secured £0.5 M+ in seed and grant funding for two healthtech start-ups; delivered MVPs within 18 months.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Scaled technical teams from 2 → 8 FTEs and established agile delivery culture linking R&amp;D to commercial success.</w:t>
      </w:r>
    </w:p>
    <w:p xmlns:wp14="http://schemas.microsoft.com/office/word/2010/wordml" wp14:paraId="76BD98A7" wp14:textId="12ABEFA7"/>
    <w:p xmlns:wp14="http://schemas.microsoft.com/office/word/2010/wordml" w:rsidP="11463609" wp14:paraId="2B1E5543" wp14:textId="317CA7FE">
      <w:pPr>
        <w:pStyle w:val="Heading3"/>
        <w:spacing w:before="281" w:beforeAutospacing="off" w:after="281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EXPERIENCE</w:t>
      </w:r>
    </w:p>
    <w:p xmlns:wp14="http://schemas.microsoft.com/office/word/2010/wordml" w:rsidP="11463609" wp14:paraId="05E9DD71" wp14:textId="7A59A147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Caristo Diagnostics Ltd | 2021 – Present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63609" w:rsidR="1EB514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Head of Innovation &amp; Research / Acting CTO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Accelerated go-to-market by transforming research AI into a production-ready SaaS medical device.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Built scalable AI infrastructure supporting continuous experimentation and automated deployment.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Scaled data workflows to handle 100 k+ clinical scans, tripling AI delivery capacity.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Partnered with CEO to align technology strategy with growth, compliance, and funding milestones.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Mentored and expanded an 8-person AI and engineering team, embedding agile best practices.</w:t>
      </w:r>
    </w:p>
    <w:p xmlns:wp14="http://schemas.microsoft.com/office/word/2010/wordml" w:rsidP="11463609" wp14:paraId="5CFB74CE" wp14:textId="19A9B372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Z-Ray Imaging Ltd | 2018 – 2020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63609" w:rsidR="1EB514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Co-Founder &amp; Chief Scientific Officer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Secured early-stage investment and built AI-enabled optical imaging prototype within 18 months.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Directed design, validation, and clinical feasibility studies, demonstrating technical and commercial viability.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Led cross-functional team integrating optics, software, and ML under tight resource constraints.</w:t>
      </w:r>
    </w:p>
    <w:p xmlns:wp14="http://schemas.microsoft.com/office/word/2010/wordml" w:rsidP="11463609" wp14:paraId="6D289341" wp14:textId="32C62DA6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Tomlins Analytics Ltd | 2013 – 2021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63609" w:rsidR="1EB514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Founder &amp; Principal Engineer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Delivered machine-learning consulting for startups, accelerating time-to-prototype and funding readiness.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Designed and commercialised optical calibration phantoms sold internationally.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Advised leadership teams on data strategy, regulatory pathways, and AI product feasibility.</w:t>
      </w:r>
    </w:p>
    <w:p xmlns:wp14="http://schemas.microsoft.com/office/word/2010/wordml" w:rsidP="11463609" wp14:paraId="2DF87452" wp14:textId="63AA1BCE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Queen Mary University of London | 2010 – 2021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63609" w:rsidR="1EB514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Head of Imaging Lab</w:t>
      </w:r>
      <w:r w:rsidRPr="11463609" w:rsidR="6F6A66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| Director of Foundation Medicine | Senior Lecturer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Founded and scaled academic imaging group; supervised 40+ MSc and PhD researchers.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Delivered translational imaging solutions adopted in NHS-linked studies and commercial collaborations.</w:t>
      </w:r>
    </w:p>
    <w:p xmlns:wp14="http://schemas.microsoft.com/office/word/2010/wordml" w:rsidP="11463609" wp14:paraId="7BDDFF5B" wp14:textId="41785911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 Physical Laboratory (NPL) | 2002 – 2010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63609" w:rsidR="1EB514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Technical Area Leader – Biophotonics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Established Biomedical Science Group and led multidisciplinary R&amp;D projects in optical imaging.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Developed measurement standards later adopted in clinical and industrial applications.</w:t>
      </w:r>
    </w:p>
    <w:p xmlns:wp14="http://schemas.microsoft.com/office/word/2010/wordml" wp14:paraId="208D3704" wp14:textId="3ED9E0BE"/>
    <w:p xmlns:wp14="http://schemas.microsoft.com/office/word/2010/wordml" w:rsidP="11463609" wp14:paraId="3A79125C" wp14:textId="05AF27A7">
      <w:pPr>
        <w:pStyle w:val="Heading3"/>
        <w:spacing w:before="281" w:beforeAutospacing="off" w:after="281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EDUCATION</w:t>
      </w:r>
    </w:p>
    <w:p xmlns:wp14="http://schemas.microsoft.com/office/word/2010/wordml" w:rsidP="11463609" wp14:paraId="33211311" wp14:textId="54E5DBC9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>PhD – Biomedical Imaging, Cranfield University (2008)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BSc (Hons) – Physics with Computational Physics (First Class), Lancaster University (2002)</w:t>
      </w:r>
    </w:p>
    <w:p xmlns:wp14="http://schemas.microsoft.com/office/word/2010/wordml" wp14:paraId="347155B8" wp14:textId="2F11CB9F"/>
    <w:p xmlns:wp14="http://schemas.microsoft.com/office/word/2010/wordml" w:rsidP="11463609" wp14:paraId="661A806B" wp14:textId="1B2CF66F">
      <w:pPr>
        <w:pStyle w:val="Heading3"/>
        <w:spacing w:before="281" w:beforeAutospacing="off" w:after="281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TECHNICAL SKILLS</w:t>
      </w:r>
    </w:p>
    <w:p xmlns:wp14="http://schemas.microsoft.com/office/word/2010/wordml" w:rsidP="11463609" wp14:paraId="0AC5136B" wp14:textId="373539F6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>AI / ML: Deep Learning, Computer Vision, Predictive Modelling (PyTorch, TensorFlow, XGBoost)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 &amp; DevOps: AWS, SageMaker, MLflow, Docker, GitLab CI/CD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Science: Bayesian Modelling, Monte Carlo Simulation, Statistical Analysis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Leadership: Product Strategy, Agile Delivery, Fundraising, Technical Roadmapping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Compliance: ISO 13485, GDPR, FDA 510(k), AI Risk Management</w:t>
      </w:r>
    </w:p>
    <w:p xmlns:wp14="http://schemas.microsoft.com/office/word/2010/wordml" wp14:paraId="7E170FCB" wp14:textId="69726D40"/>
    <w:p xmlns:wp14="http://schemas.microsoft.com/office/word/2010/wordml" w:rsidP="11463609" wp14:paraId="5379735F" wp14:textId="1704BC45">
      <w:pPr>
        <w:pStyle w:val="Heading3"/>
        <w:spacing w:before="281" w:beforeAutospacing="off" w:after="281" w:afterAutospacing="off"/>
      </w:pPr>
      <w:r w:rsidRPr="11463609" w:rsidR="1EB514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MEMBERSHIPS</w:t>
      </w:r>
    </w:p>
    <w:p xmlns:wp14="http://schemas.microsoft.com/office/word/2010/wordml" w:rsidP="11463609" wp14:paraId="6B24AF96" wp14:textId="6126DEFB">
      <w:pPr>
        <w:spacing w:before="240" w:beforeAutospacing="off" w:after="240" w:afterAutospacing="off"/>
      </w:pP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>Visiting Scientist, Oxford University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Chartered Physicist, Institute of Physics (since 2010)</w:t>
      </w:r>
      <w:r>
        <w:br/>
      </w:r>
      <w:r w:rsidRPr="11463609" w:rsidR="1EB51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Treasurer, IOP Optical Group (2014–2019)</w:t>
      </w:r>
    </w:p>
    <w:p xmlns:wp14="http://schemas.microsoft.com/office/word/2010/wordml" wp14:paraId="2C078E63" wp14:textId="1430B23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7ca2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dc9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7df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652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c03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19a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60548"/>
    <w:rsid w:val="11463609"/>
    <w:rsid w:val="1EB5145D"/>
    <w:rsid w:val="2E760548"/>
    <w:rsid w:val="329EA7FB"/>
    <w:rsid w:val="4042C29C"/>
    <w:rsid w:val="525DA0CB"/>
    <w:rsid w:val="6F6A6682"/>
    <w:rsid w:val="7453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0548"/>
  <w15:chartTrackingRefBased/>
  <w15:docId w15:val="{E0B5F0BC-04D8-414D-94EB-5423A7DAB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1463609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14636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4636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eac36bc824c48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2025-10-16T09:16:44.7179402Z</dcterms:created>
  <dcterms:modified xsi:type="dcterms:W3CDTF">2025-10-16T09:22:38.6141641Z</dcterms:modified>
  <dc:creator>Pete Tomlins</dc:creator>
  <lastModifiedBy>Pete Tomlins</lastModifiedBy>
</coreProperties>
</file>