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Reporting-layer robustness audit — findings and remediation record</w:t>
      </w:r>
    </w:p>
    <w:p>
      <w:pPr>
        <w:spacing w:after="60" w:before="0"/>
      </w:pPr>
      <w:r>
        <w:rPr>
          <w:sz w:val="24"/>
          <w:szCs w:val="24"/>
        </w:rPr>
        <w:t xml:space="preserve">Cross-artefact reconciliation of the weekly email, factsheet PDF, dashboard and digest risk visuals</w:t>
      </w:r>
    </w:p>
    <w:p>
      <w:pPr>
        <w:spacing w:after="200" w:before="0"/>
      </w:pPr>
      <w:r>
        <w:rPr>
          <w:color w:val="555555"/>
          <w:sz w:val="20"/>
          <w:szCs w:val="20"/>
        </w:rPr>
        <w:t xml:space="preserve">Saturday, 18 July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Personal — breadth-thrust-etf (public repo phuazz/breadth-thrust-etf; USD Multi-Strategy ETF Portfolio paper track)</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 scope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Calculation and reporting layer only: build_email_body.py, build_factsheet.py, template.html (dashboard), build_risk_visuals.py and its feeds. Strategy logic, signals and backtest engines out of scope (covered by the 2026-07-04 implementation audit).</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As of the 2026-07-17 Friday close. Deployed blend series 2018-11-08 to 2026-07-17 (1,895 bars; ~246.5 bars/year on the US-intersect-Europe calendar). Shipped artefact vintages pinned per git commit, never compared across vintages.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risk_overlay.json, live_track.json, four sleeve JSONs, holdings_prices_1y.json (per-commit blobs), asset_class_prices_cache.parquet, monitor dataset portfolio-multi-strategy-portfolio.json, NYSE calendar via pandas_market_calendars.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Per-artefact formula clones calibrated first (each reproduces its artefact's stored figures exactly), then independent recomputation with pandas date arithmetic. Three self-error modes stated before any code was written — re-implementation convergence, data-vintage skew, own fenceposts — each with an explicit mitigation.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Audited at 875422f. Fixes: 4efa087, 19552f8, 7671120, 40e59c7 (all 2026-07-18).</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2026-07-18 section</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AUDIT CLOSED - REMEDIATED: ten confirmed silent numerical defects; ten fixed, tested and deployed the same day; 317-test suite green; live deployment verified serving the corrected artefacts.</w:t>
            </w:r>
          </w:p>
        </w:tc>
      </w:tr>
    </w:tbl>
    <w:p>
      <w:pPr>
        <w:spacing w:after="140" w:before="0"/>
      </w:pPr>
      <w:r>
        <w:t xml:space="preserve"/>
      </w:r>
    </w:p>
    <w:p>
      <w:pPr>
        <w:pStyle w:val="Heading1"/>
      </w:pPr>
      <w:r>
        <w:t xml:space="preserve">1. Executive summary</w:t>
      </w:r>
    </w:p>
    <w:p>
      <w:pPr>
        <w:spacing w:after="120" w:before="0"/>
      </w:pPr>
      <w:r>
        <w:t xml:space="preserve">1. Ten silent numerical defects were confirmed across the four publication artefacts. Every hunted class - window anchors, calendar alignment, denominator and sleeve-weight divergence, and the same metric computed through two drifting code paths - had at least one live instance.</w:t>
      </w:r>
    </w:p>
    <w:p>
      <w:pPr>
        <w:spacing w:after="120" w:before="0"/>
      </w:pPr>
      <w:r>
        <w:t xml:space="preserve">2. Most material: the factsheet's per-position attribution charts silently dropped 47.6% of NAV in every shipped weekly build (sleeves A ex-SOXX and all of D could never resolve against the price panel's proxy keys), 70.2% on the site-current build. The shipped 2026-07-10 chart's bars summed to +0.43pp beside a hero 1-week P&amp;L of +0.04%, and its largest bar (EEM, 10% of NAV) covered a different week entirely.</w:t>
      </w:r>
    </w:p>
    <w:p>
      <w:pPr>
        <w:spacing w:after="120" w:before="0"/>
      </w:pPr>
      <w:r>
        <w:t xml:space="preserve">3. Same-delivery disagreements: the 2026-07-18 email printed 1Y +32.19% while the attached PDF printed +30.75% (a 374-calendar-day '1Y' window from 252 bars on a ~246.5-bar/year calendar); the dashboard's default view printed YTD +13.95% against +15.26% everywhere else (first-in-year-bar rebase); the dashboard's Sharpe tile printed 1.333 on the same page as the header's 1.236 (compounded-arithmetic-mean numerator).</w:t>
      </w:r>
    </w:p>
    <w:p>
      <w:pPr>
        <w:spacing w:after="120" w:before="0"/>
      </w:pPr>
      <w:r>
        <w:t xml:space="preserve">4. Eight published daily builds carried phantom non-NYSE bars (2026-06-19 Juneteenth; 2026-07-03 Independence Day observed) because the NYSE cap trims only the tail of the live extension; on Monday 2026-07-06 the phantom became the WTD base and the dashboard printed +0.756% instead of +1.005%.</w:t>
      </w:r>
    </w:p>
    <w:p>
      <w:pPr>
        <w:spacing w:after="120" w:before="0"/>
      </w:pPr>
      <w:r>
        <w:t xml:space="preserve">5. Two latent state divergences were confirmed in code and quantified on historical flip weeks: tilt flips misstated every Strategy B prior weight by up to 5.7pp NAV and omitted the 10%-of-NAV EEM trade from every table; a RISK_OFF week would have printed the holdings tables at twice the live target while live_track correctly halved them.</w:t>
      </w:r>
    </w:p>
    <w:p>
      <w:pPr>
        <w:spacing w:after="120" w:before="0"/>
      </w:pPr>
      <w:r>
        <w:t xml:space="preserve">6. All ten defects were remediated the same day behind a new shared point-in-time overlay-state module (Python and JS ports with identical semantics), date-anchored windows, the engine's Sharpe convention, a book-derived price-panel exporter with a shrink guard, and a true-session filter on the live splice.</w:t>
      </w:r>
    </w:p>
    <w:p>
      <w:pPr>
        <w:spacing w:after="120" w:before="0"/>
      </w:pPr>
      <w:r>
        <w:t xml:space="preserve">7. Verification: 317 tests pass (18 new or extended, including flip-day, month/year-boundary and leap-day cases); the changed dashboard functions were executed in node against the real data and reproduce the email, PDF and engine figures exactly; the monitor dataset reproduced all of its own baked statistics including all seven benchmark legs and was given a clean bill.</w:t>
      </w:r>
    </w:p>
    <w:p>
      <w:pPr>
        <w:pStyle w:val="Heading1"/>
      </w:pPr>
      <w:r>
        <w:t xml:space="preserve">2. Method and self-error controls</w:t>
      </w:r>
    </w:p>
    <w:p>
      <w:pPr>
        <w:spacing w:after="120" w:before="0"/>
      </w:pPr>
      <w:r>
        <w:t xml:space="preserve">Primary method: cross-artefact reconciliation. Each headline metric was computed four ways using an exact clone of each artefact's own formula, calibrated by reproducing the artefact's stored output first, then compared against an independent recomputation anchored with pandas date arithmetic. Any disagreement localises a defect to at least one code path. Shipped artefacts were reconstructed from their own commit's data blobs (git show), never from the working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Three ways the audit itself could have been silently wrong, stated before analysis code was written: (1) re-implementation convergence - verifying an artefact by importing its own helpers proves nothing, so every clone was calibrated against stored engine fields first; (2) data-vintage skew - artefacts are rebuilt by three different jobs, so every claim was pinned to a specific commit's blob (this control caught a live mistake: the degraded 23-ticker panel was initially attributed to the emailed PDF, when that PDF was in fact built from the weekly run's 58-ticker panel; the finding was re-scoped before reporting); (3) own fenceposts - every window claim reports both sides' actual anchor dates and bar counts.</w:t>
            </w:r>
          </w:p>
        </w:tc>
      </w:tr>
    </w:tbl>
    <w:p>
      <w:pPr>
        <w:spacing w:after="120" w:before="0"/>
      </w:pPr>
      <w:r>
        <w:t xml:space="preserve"/>
      </w:r>
    </w:p>
    <w:p>
      <w:pPr>
        <w:pStyle w:val="Heading1"/>
      </w:pPr>
      <w:r>
        <w:t xml:space="preserve">3. Pre-fix reconciliation matrix</w:t>
      </w:r>
    </w:p>
    <w:p>
      <w:pPr>
        <w:spacing w:after="120" w:before="0"/>
      </w:pPr>
      <w:r>
        <w:t xml:space="preserve">Deployed blend, as of the 2026-07-17 close; each cell computed under that artefact's own code path as shipped at commit 875422f. Bold rows disagreed.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40"/>
        <w:gridCol w:w="1440"/>
        <w:gridCol w:w="1440"/>
        <w:gridCol w:w="1440"/>
        <w:gridCol w:w="1440"/>
      </w:tblGrid>
      <w:tr>
        <w:trPr>
          <w:tblHeader/>
        </w:trPr>
        <w:tc>
          <w:tcPr>
            <w:tcW w:type="dxa" w:w="18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Metric</w:t>
            </w:r>
          </w:p>
        </w:tc>
        <w:tc>
          <w:tcPr>
            <w:tcW w:type="dxa" w:w="144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Email</w:t>
            </w:r>
          </w:p>
        </w:tc>
        <w:tc>
          <w:tcPr>
            <w:tcW w:type="dxa" w:w="144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Factsheet PDF</w:t>
            </w:r>
          </w:p>
        </w:tc>
        <w:tc>
          <w:tcPr>
            <w:tcW w:type="dxa" w:w="144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Dashboard</w:t>
            </w:r>
          </w:p>
        </w:tc>
        <w:tc>
          <w:tcPr>
            <w:tcW w:type="dxa" w:w="144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Monitor</w:t>
            </w:r>
          </w:p>
        </w:tc>
        <w:tc>
          <w:tcPr>
            <w:tcW w:type="dxa" w:w="144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Verdict</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WTD</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-1.234%</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-1.234%</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-1.234%</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-1.234%</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clean</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1M</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-1.268%</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-1.557%</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-1.268%</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F6</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YTD</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+15.257%</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+15.257%</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+13.952%</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+15.257%</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F4</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1Y</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+32.186%</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+30.753%</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+32.186%</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+30.753%</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F5</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3Y</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+59.78%</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+67.23%</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F6</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Inception</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+189.7%</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+189.7%</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+189.7%</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clean</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Sharpe (full)</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+1.237</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+1.236</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+1.333</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+1.237</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F6</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Max DD (full)</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-16.30%</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-16.30%</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-16.30%</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-16.30%</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clean</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CAGR / annualised</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+14.84%</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+16.04%</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+14.84%</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F6</w:t>
            </w:r>
          </w:p>
        </w:tc>
      </w:tr>
      <w:tr>
        <w:tc>
          <w:tcPr>
            <w:tcW w:type="dxa" w:w="1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Holdings weights</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agree</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agree</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agree</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agree</w:t>
            </w:r>
          </w:p>
        </w:tc>
        <w:tc>
          <w:tcPr>
            <w:tcW w:type="dxa" w:w="144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clean (state-conditional: F7/F8)</w:t>
            </w:r>
          </w:p>
        </w:tc>
      </w:tr>
    </w:tbl>
    <w:p>
      <w:pPr>
        <w:spacing w:after="100" w:before="0"/>
      </w:pPr>
      <w:r>
        <w:t xml:space="preserve"/>
      </w:r>
    </w:p>
    <w:p>
      <w:pPr>
        <w:pStyle w:val="Heading1"/>
      </w:pPr>
      <w:r>
        <w:t xml:space="preserve">4. Findings</w:t>
      </w:r>
    </w:p>
    <w:p>
      <w:pPr>
        <w:pStyle w:val="Heading2"/>
      </w:pPr>
      <w:r>
        <w:t xml:space="preserve">4.1 Window and annualisation conventions (F4, F5, F6, F9)</w:t>
      </w:r>
    </w:p>
    <w:p>
      <w:pPr>
        <w:spacing w:after="120" w:before="0"/>
      </w:pPr>
      <w:r>
        <w:t xml:space="preserve">Four convention defects, one family: a labelled period computed over a different window, or the same statistic computed under two formulas. The blend's US-intersect-Europe calendar (~246.5 bars/year) makes bar-count windows materially wrong: 252 bars span 374 calendar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526"/>
        <w:gridCol w:w="1700"/>
      </w:tblGrid>
      <w:tr>
        <w:trPr>
          <w:tblHeader/>
        </w:trPr>
        <w:tc>
          <w:tcPr>
            <w:tcW w:type="dxa" w:w="1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Finding</w:t>
            </w:r>
          </w:p>
        </w:tc>
        <w:tc>
          <w:tcPr>
            <w:tcW w:type="dxa" w:w="2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Surface and figure as shipped</w:t>
            </w:r>
          </w:p>
        </w:tc>
        <w:tc>
          <w:tcPr>
            <w:tcW w:type="dxa" w:w="25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Correct figure</w:t>
            </w:r>
          </w:p>
        </w:tc>
        <w:tc>
          <w:tcPr>
            <w:tcW w:type="dxa" w:w="17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Error</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F4 dashboard YTD anchor</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Default-view tile +13.95% (rebased on the first in-year bar, discarding 2026-01-02's +1.15%)</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+15.26% (prior-year close 2025-12-30)</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-1.31pp</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F5 email 1Y window</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Email +32.19% (252 bars back = base 2025-07-08)</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PDF +30.75% (calendar anniversary 2025-07-17)</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+1.43pp (SPY leg +1.49pp)</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F6 dashboard Sharpe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Tile 1.333 ((1+mean)^252-1 over sd*sqrt(252), population sd)</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1.236 (mean/sd, ddof 1, engine convention)</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+0.10 (~8%)</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F6 dashboard annualised</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Tile +16.04% (compounded arithmetic mean)</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+14.84% (geometric over calendar span = engine CAGR)</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+1.20pp</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F6 dashboard 3Y / 1M</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756-bar 3Y +67.23%; 21-bar 1M -1.557%</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Date-based +59.78% / -1.268%</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+7.45pp / -0.29pp</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F9 sleeve YTD column</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window_ret(1 Jan) first-session anchor: A +28%, B +6%, C -0%, D +15% at dp0</w:t>
            </w:r>
          </w:p>
        </w:tc>
        <w:tc>
          <w:tcPr>
            <w:tcW w:type="dxa" w:w="2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ytd_ret prior-year close: A +31%, B +7%, C +2%, D +16%</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up to +3.0pp; C's printed sign was wrong</w:t>
            </w:r>
          </w:p>
        </w:tc>
      </w:tr>
    </w:tbl>
    <w:p>
      <w:pPr>
        <w:spacing w:after="100" w:before="0"/>
      </w:pPr>
      <w:r>
        <w:t xml:space="preserve"/>
      </w:r>
    </w:p>
    <w:p>
      <w:pPr>
        <w:pStyle w:val="Heading2"/>
      </w:pPr>
      <w:r>
        <w:t xml:space="preserve">4.2 Holdings price panel: coverage and staleness (F1, F2)</w:t>
      </w:r>
    </w:p>
    <w:p>
      <w:pPr>
        <w:spacing w:after="120" w:before="0"/>
      </w:pPr>
      <w:r>
        <w:t xml:space="preserve">The factsheet's attribution lookup used raw book tickers against a panel keyed by trading symbols (XLE, EXV1.DE, ...), so sleeves A ex-SOXX and D could never resolve in any vintage; unresolved rows were silently dropped and the only fallback text required zero rows. Separately, the daily Actions job - which refreshes no caches before exporting - emitted a 23-ticker panel and committed it over the weekly job's 58-ticker one (asset_class_prices_cache.parquet is not tracked at HEAD, so CI runners never have it), and EEM's only committed source froze at 2026-07-06 while the tilt position is 10% of NAV.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326"/>
        <w:gridCol w:w="180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Build vintage</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Chart covered</w:t>
            </w:r>
          </w:p>
        </w:tc>
        <w:tc>
          <w:tcPr>
            <w:tcW w:type="dxa" w:w="33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Silently dropped</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Notes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Emailed 2026-07-18 PDF (weekly, 58-key panel)</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52.4% of NAV (14 rows)</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47.6% of NAV (9 names: IUES 8.3, IUUS 8.0, EXV1 7.0, IUSP 6.7, EXH1 6.6, EXH9 6.4, IUFS 3.9, IUIS 0.5, IUHC 0.2)</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EEM bar covered 2026-06-29 to 07-06 - the wrong week - at 10% NAV</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Shipped 2026-07-10 PDF</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54.9% of NAV</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45.1% of NAV (same nine)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Bars summed +0.43pp beside a +0.04% hero week; dropped names were that week's detractors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Site-current PDF (daily 23-key panel)</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29.8% of NAV (5 rows)</w:t>
            </w:r>
          </w:p>
        </w:tc>
        <w:tc>
          <w:tcPr>
            <w:tcW w:type="dxa" w:w="3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70.2% of NAV (18 names)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SPY row itself frozen at 2026-07-06</w:t>
            </w:r>
          </w:p>
        </w:tc>
      </w:tr>
    </w:tbl>
    <w:p>
      <w:pPr>
        <w:spacing w:after="100" w:before="0"/>
      </w:pPr>
      <w:r>
        <w:t xml:space="preserve"/>
      </w:r>
    </w:p>
    <w:p>
      <w:pPr>
        <w:spacing w:after="120" w:before="0"/>
      </w:pPr>
      <w:r>
        <w:t xml:space="preserve">Remediation: registry-proxy and .DE resolution in the factsheet lookup; first-bar-at/after trailing anchors so holiday weeks match the hero window; rows staler than five days versus the as-of are dropped and counted; an on-chart coverage note prints whenever bars cover less than 100% of NAV. The exporter now derives its universe from the deployed book, re-fetches cache-sourced series older than seven calendar days, and carries forward any ticker a degraded run cannot source (with a loud warning) so the panel can never shrink again. Post-fix: 100% of NAV covered; the contribution sum sits within 0.14pp of the blend's week (residual = EUR-priced Xetra rows, now captioned).</w:t>
      </w:r>
    </w:p>
    <w:p>
      <w:pPr>
        <w:pStyle w:val="Heading2"/>
      </w:pPr>
      <w:r>
        <w:t xml:space="preserve">4.3 Live-splice calendar integrity (F3)</w:t>
      </w:r>
    </w:p>
    <w:p>
      <w:pPr>
        <w:spacing w:after="120" w:before="0"/>
      </w:pPr>
      <w:r>
        <w:t xml:space="preserve">The NYSE session cap trims only bars dated after the last completed session at run time. An interior Europe-only bar therefore re-entered the splice one run later, violating the product's own USD-NYSE-anchored dating rule. Confirmed in shipped blobs, including after the 2026-07-05 cap fix (which by construction cannot catch the retro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26"/>
        <w:gridCol w:w="1800"/>
        <w:gridCol w:w="220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Phantom bar</w:t>
            </w:r>
          </w:p>
        </w:tc>
        <w:tc>
          <w:tcPr>
            <w:tcW w:type="dxa" w:w="2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Carried in published builds</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Bar's Europe-only move</w:t>
            </w:r>
          </w:p>
        </w:tc>
        <w:tc>
          <w:tcPr>
            <w:tcW w:type="dxa" w:w="2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Displayed impact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2026-06-19 (Juneteenth)</w:t>
            </w:r>
          </w:p>
        </w:tc>
        <w:tc>
          <w:tcPr>
            <w:tcW w:type="dxa" w:w="2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2026-06-22 to 06-25 dailies (4 builds)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+0.05%</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WTD base error -0.05pp on 06-22</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2026-07-03 (Independence Day obs.)</w:t>
            </w:r>
          </w:p>
        </w:tc>
        <w:tc>
          <w:tcPr>
            <w:tcW w:type="dxa" w:w="2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2026-07-06 to 07-09 dailies (4 builds)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+0.25%</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WTD shown +0.756% vs correct +1.005% (-0.25pp), captioned 'Since 2026-07-03 close'</w:t>
            </w:r>
          </w:p>
        </w:tc>
      </w:tr>
    </w:tbl>
    <w:p>
      <w:pPr>
        <w:spacing w:after="100" w:before="0"/>
      </w:pPr>
      <w:r>
        <w:t xml:space="preserve"/>
      </w:r>
    </w:p>
    <w:p>
      <w:pPr>
        <w:spacing w:after="120" w:before="0"/>
      </w:pPr>
      <w:r>
        <w:t xml:space="preserve">Remediation: the extension now filters every candidate date through the true NYSE session set (nyse_sessions.sessions_between) for the whole fetch window, deployed and per-sleeve alike, logging anything dropped. The next latent trigger would have been Labor Day, Monday 2026-09-07 (Xetra open). A clean-week re-run reproduced the prior output byte-for-byte except the timestamp.</w:t>
      </w:r>
    </w:p>
    <w:p>
      <w:pPr>
        <w:pStyle w:val="Heading2"/>
      </w:pPr>
      <w:r>
        <w:t xml:space="preserve">4.4 Overlay-state divergence across surfaces (F7, F8, F10)</w:t>
      </w:r>
    </w:p>
    <w:p>
      <w:pPr>
        <w:spacing w:after="120" w:before="0"/>
      </w:pPr>
      <w:r>
        <w:t xml:space="preserve">Three surfaces (email, factsheet, dashboard) scaled BOTH columns of every rebalance comparison by the CURRENT tilt state's sleeve weight, and ignored the de-risk gate entirely in their holdings tables, while live_track applied both overlays. Replayed on the real flip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600"/>
        <w:gridCol w:w="3600"/>
      </w:tblGrid>
      <w:tr>
        <w:trPr>
          <w:tblHeader/>
        </w:trPr>
        <w:tc>
          <w:tcPr>
            <w:tcW w:type="dxa" w:w="28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Flip week</w:t>
            </w:r>
          </w:p>
        </w:tc>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Worst prior-column misstatement</w:t>
            </w:r>
          </w:p>
        </w:tc>
        <w:tc>
          <w:tcPr>
            <w:tcW w:type="dxa" w:w="3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Trades absent from every table</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2021-04-29 tilt OFF (B rebal 04-23 to 04-30)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IJR +2.1pp NAV</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 sleeve +10pp shift; EEM EXIT 10% NAV</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2023-01-20 tilt 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VGK -3.1pp NAV</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 sleeve -10pp shift; EEM ENTER 10% NAV</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2023-04-12 tilt OFF (B rebal 03-31 to 04-14)</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VGK +2.3pp NAV</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 sleeve +10pp shift; EEM EXIT 10% NAV</w:t>
            </w:r>
          </w:p>
        </w:tc>
      </w:tr>
      <w:tr>
        <w:tc>
          <w:tcPr>
            <w:tcW w:type="dxa" w:w="2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2025-04-07 tilt ON (B rebal 04-04 to 04-11)</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GLD -5.7pp NAV</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 sleeve -10pp shift; EEM ENTER 10% NAV (gate RISK_OFF simultaneously - errors compound)</w:t>
            </w:r>
          </w:p>
        </w:tc>
      </w:tr>
    </w:tbl>
    <w:p>
      <w:pPr>
        <w:spacing w:after="100" w:before="0"/>
      </w:pPr>
      <w:r>
        <w:t xml:space="preserve"/>
      </w:r>
    </w:p>
    <w:p>
      <w:pPr>
        <w:spacing w:after="120" w:before="0"/>
      </w:pPr>
      <w:r>
        <w:t xml:space="preserve">The gate divergence is latent but structural: across nine historical RISK_OFF spans (most recently 2026-03-27 to 04-13) the holdings tables would have printed the full-equity book at twice the live target - in exactly the weeks the table matters most. The dashboard's attribution panel additionally hard-coded 35/35/10/20: with the tilt ON since 2025-04-07 it overstated B's YTD contribution by +0.63pp and omitted the 10% EEM leg. Remediation: scripts/overlay_state.py (and its JS port _sleeveNavWeightsOn) provides point-in-time sleeve weights from the overlay event log (an event dated D takes effect on D, matching the monitor's build_weight_history); every table prices each column on its own date, overlay flips emit their own TILT and GATE rows, and holdings tables apply the de-risk scaling with the SHY overlay row.</w:t>
      </w:r>
    </w:p>
    <w:p>
      <w:pPr>
        <w:pStyle w:val="Heading1"/>
      </w:pPr>
      <w:r>
        <w:t xml:space="preserve">5. Checked and found clean</w:t>
      </w:r>
    </w:p>
    <w:p>
      <w:pPr>
        <w:pStyle w:val="ListParagraph"/>
        <w:numPr>
          <w:ilvl w:val="0"/>
          <w:numId w:val="2"/>
        </w:numPr>
        <w:spacing w:after="60"/>
      </w:pPr>
      <w:r>
        <w:t xml:space="preserve">Live-track splice integrity: no duplicated or dropped bar at the join; anchor equality enforced on both consumers.</w:t>
      </w:r>
    </w:p>
    <w:p>
      <w:pPr>
        <w:pStyle w:val="ListParagraph"/>
        <w:numPr>
          <w:ilvl w:val="0"/>
          <w:numId w:val="2"/>
        </w:numPr>
        <w:spacing w:after="60"/>
      </w:pPr>
      <w:r>
        <w:t xml:space="preserve">Max drawdown and inception return identical across all four artefacts; WTD identical across email, dashboard, factsheet 1-week and monitor.</w:t>
      </w:r>
    </w:p>
    <w:p>
      <w:pPr>
        <w:pStyle w:val="ListParagraph"/>
        <w:numPr>
          <w:ilvl w:val="0"/>
          <w:numId w:val="2"/>
        </w:numPr>
        <w:spacing w:after="60"/>
      </w:pPr>
      <w:r>
        <w:t xml:space="preserve">Email WTD SPY leg base date equals the strategy base; post-fix YTD agreement across email, PDF and monitor.</w:t>
      </w:r>
    </w:p>
    <w:p>
      <w:pPr>
        <w:pStyle w:val="ListParagraph"/>
        <w:numPr>
          <w:ilvl w:val="0"/>
          <w:numId w:val="2"/>
        </w:numPr>
        <w:spacing w:after="60"/>
      </w:pPr>
      <w:r>
        <w:t xml:space="preserve">Monitor dataset end-to-end: MTD/QTD/YTD/1Y/SI, Sharpe, CAGR, max drawdown and all seven benchmark legs (SPY, QQQ, ACWI, STI in USD, 60/40, AOR, BIL) reproduce from its own baked arrays; model and benchmark spans identical at 1,894 bars; STI FX direction (ES3.SI x SGDUSD=X) correct.</w:t>
      </w:r>
    </w:p>
    <w:p>
      <w:pPr>
        <w:pStyle w:val="ListParagraph"/>
        <w:numPr>
          <w:ilvl w:val="0"/>
          <w:numId w:val="2"/>
        </w:numPr>
        <w:spacing w:after="60"/>
      </w:pPr>
      <w:r>
        <w:t xml:space="preserve">Engine sleeve Sharpe and CAGR fields match independent recomputation; blend cost model (5 bps per unit of weight change) matches the factsheet footer's statement.</w:t>
      </w:r>
    </w:p>
    <w:p>
      <w:pPr>
        <w:pStyle w:val="ListParagraph"/>
        <w:numPr>
          <w:ilvl w:val="0"/>
          <w:numId w:val="2"/>
        </w:numPr>
        <w:spacing w:after="60"/>
      </w:pPr>
      <w:r>
        <w:t xml:space="preserve">Holdings weights agree across email, factsheet, dashboard, live_track and risk visuals to under 0.001pp in the current state.</w:t>
      </w:r>
    </w:p>
    <w:p>
      <w:pPr>
        <w:pStyle w:val="ListParagraph"/>
        <w:numPr>
          <w:ilvl w:val="0"/>
          <w:numId w:val="2"/>
        </w:numPr>
        <w:spacing w:after="60"/>
      </w:pPr>
      <w:r>
        <w:t xml:space="preserve">Calendar exclusions 2026-04-06 (Easter Monday) and 2026-05-01 (European Labour Day) correct in the blend series; regime and tilt state consistent across artefacts; Phase 28.5 staleness guards intact.</w:t>
      </w:r>
    </w:p>
    <w:p>
      <w:pPr>
        <w:pStyle w:val="ListParagraph"/>
        <w:numPr>
          <w:ilvl w:val="0"/>
          <w:numId w:val="2"/>
        </w:numPr>
        <w:spacing w:after="60"/>
      </w:pPr>
      <w:r>
        <w:t xml:space="preserve">The two 2026-07-18 pre-audit fixes (36d3d0e rebalance-sort; 875422f YTD anchor + SPY alignment) verified as landed.</w:t>
      </w:r>
    </w:p>
    <w:p>
      <w:pPr>
        <w:pStyle w:val="Heading1"/>
      </w:pPr>
      <w:r>
        <w:t xml:space="preserve">6. Remediation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Findings</w:t>
            </w:r>
          </w:p>
        </w:tc>
        <w:tc>
          <w:tcPr>
            <w:tcW w:type="dxa" w:w="54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Fix</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Commit</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F1, F5, F7, F8, F9</w:t>
            </w:r>
          </w:p>
        </w:tc>
        <w:tc>
          <w:tcPr>
            <w:tcW w:type="dxa" w:w="5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overlay_state module; per-date column pricing + TILT/GATE rows; de-risk-aware holdings tables; factsheet proxy resolution + coverage disclosure + stale-row guard; sleeve YTD via ytd_ret; email 1Y date-anchored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4efa087</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F2</w:t>
            </w:r>
          </w:p>
        </w:tc>
        <w:tc>
          <w:tcPr>
            <w:tcW w:type="dxa" w:w="5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Book-derived exporter universe + 7-day staleness re-fetch + carry-forward shrink guard; panel regenerated (58 tickers, full book, EEM/SPY through 2026-07-17)</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19552f8</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F3</w:t>
            </w:r>
          </w:p>
        </w:tc>
        <w:tc>
          <w:tcPr>
            <w:tcW w:type="dxa" w:w="5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sessions_between filter on the live extension (deployed + per-sleeve); clean-week parity confirmed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7671120</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F4, F6, F10</w:t>
            </w:r>
          </w:p>
        </w:tc>
        <w:tc>
          <w:tcPr>
            <w:tcW w:type="dxa" w:w="5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Prior-close YTD anchor and date-based windows in the shared JS helpers; Sharpe mean/sd*sqrt(252) ddof 1; geometric annualised; tilt/gate-aware attribution weights + EEM and SHY legs; positions card ported to per-date weights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40e59c7</w:t>
            </w:r>
          </w:p>
        </w:tc>
      </w:tr>
    </w:tbl>
    <w:p>
      <w:pPr>
        <w:spacing w:after="100" w:before="0"/>
      </w:pPr>
      <w:r>
        <w:t xml:space="preserve"/>
      </w:r>
    </w:p>
    <w:p>
      <w:pPr>
        <w:spacing w:after="120" w:before="0"/>
      </w:pPr>
      <w:r>
        <w:t xml:space="preserve">Verification of the remediation: full suite 317 passed (18 tests new or extended, covering flip-day-inclusive state, month/year boundaries, leap-day as-of, phantom-bar exclusion and email-vs-PDF window agreement); the changed dashboard functions executed in node against the real data reproduce YTD +15.257%, 1Y +30.753%, 3Y +59.78%, MAX Sharpe 1.2367 and annualised +14.84% (= engine CAGR); the live site serves the post-fix build (factsheet_meta computed_at 2026-07-18 08:47 UTC).</w:t>
      </w:r>
    </w:p>
    <w:p>
      <w:pPr>
        <w:pStyle w:val="Heading1"/>
      </w:pPr>
      <w:r>
        <w:t xml:space="preserve">7. Trial register</w:t>
      </w:r>
    </w:p>
    <w:p>
      <w:pPr>
        <w:spacing w:after="120" w:before="0"/>
      </w:pPr>
      <w:r>
        <w:t xml:space="preserve">Zero strategy configurations were evaluated and none selected: this audit changed no signal, weight, threshold or cost parameter, so no multiple-testing haircut applies. All changes are reporting-layer correctness fixes toward the engine's already-published conventions.</w:t>
      </w:r>
    </w:p>
    <w:p>
      <w:pPr>
        <w:pStyle w:val="Heading1"/>
      </w:pPr>
      <w:r>
        <w:t xml:space="preserve">8. Artefact register</w:t>
      </w:r>
    </w:p>
    <w:p>
      <w:pPr>
        <w:pStyle w:val="ListParagraph"/>
        <w:numPr>
          <w:ilvl w:val="0"/>
          <w:numId w:val="2"/>
        </w:numPr>
        <w:spacing w:after="60"/>
      </w:pPr>
      <w:r>
        <w:t xml:space="preserve">Code: scripts/overlay_state.py (new), build_email_body.py, build_factsheet.py, export_holdings_prices.py, mark_to_market_live.py, nyse_sessions.py, template.html.</w:t>
      </w:r>
    </w:p>
    <w:p>
      <w:pPr>
        <w:pStyle w:val="ListParagraph"/>
        <w:numPr>
          <w:ilvl w:val="0"/>
          <w:numId w:val="2"/>
        </w:numPr>
        <w:spacing w:after="60"/>
      </w:pPr>
      <w:r>
        <w:t xml:space="preserve">Tests: tests/test_overlay_state.py (new), test_build_email_body.py, test_wtd_logic.py, test_mark_to_market_live.py, test_nyse_sessions.py.</w:t>
      </w:r>
    </w:p>
    <w:p>
      <w:pPr>
        <w:pStyle w:val="ListParagraph"/>
        <w:numPr>
          <w:ilvl w:val="0"/>
          <w:numId w:val="2"/>
        </w:numPr>
        <w:spacing w:after="60"/>
      </w:pPr>
      <w:r>
        <w:t xml:space="preserve">Data and artefacts regenerated: data/holdings_prices_1y.json, data/live_track.json, docs/index.html, docs/factsheet_latest.pdf (+ dated copy and meta), docs/email_body.html.</w:t>
      </w:r>
    </w:p>
    <w:p>
      <w:pPr>
        <w:pStyle w:val="ListParagraph"/>
        <w:numPr>
          <w:ilvl w:val="0"/>
          <w:numId w:val="2"/>
        </w:numPr>
        <w:spacing w:after="60"/>
      </w:pPr>
      <w:r>
        <w:t xml:space="preserve">Evidence basis: per-commit blobs of live_track.json and holdings_prices_1y.json (ce25a08, 2493d4a, 9d9108b, a81e59d, 15aa8db, fe08bf1, 8bdf627, d304c1e, 61c1e41, 2252708, 87dbd11, 8cf3673, cf0c0d1); regression tests encode each finding's reproduction.</w:t>
      </w:r>
    </w:p>
    <w:p>
      <w:pPr>
        <w:pStyle w:val="ListParagraph"/>
        <w:numPr>
          <w:ilvl w:val="0"/>
          <w:numId w:val="2"/>
        </w:numPr>
        <w:spacing w:after="60"/>
      </w:pPr>
      <w:r>
        <w:t xml:space="preserve">Ledger: C:/dev/STUDIES_LEDGER.md row dated 2026-07-18; running memo RESEARCH_MEMO.md section of the same date.</w:t>
      </w:r>
    </w:p>
    <w:p>
      <w:pPr>
        <w:pStyle w:val="Heading1"/>
      </w:pPr>
      <w:r>
        <w:t xml:space="preserve">9. Residual risks and next steps</w:t>
      </w:r>
    </w:p>
    <w:p>
      <w:pPr>
        <w:pStyle w:val="ListParagraph"/>
        <w:numPr>
          <w:ilvl w:val="0"/>
          <w:numId w:val="2"/>
        </w:numPr>
        <w:spacing w:after="60"/>
      </w:pPr>
      <w:r>
        <w:t xml:space="preserve">Monitor repo (multi-strategy-portfolio): the digest proximity chart still cannot resolve several holdings because its registry etf_meta lacks entries (IUFS, IUIS, IUHC and others) - spawned as a separate task; the upstream panel is now complete, so registry coverage is the only remaining gap.</w:t>
      </w:r>
    </w:p>
    <w:p>
      <w:pPr>
        <w:pStyle w:val="ListParagraph"/>
        <w:numPr>
          <w:ilvl w:val="0"/>
          <w:numId w:val="2"/>
        </w:numPr>
        <w:spacing w:after="60"/>
      </w:pPr>
      <w:r>
        <w:t xml:space="preserve">Deliberate leftovers, recorded in project memory: dead code in build_factsheet (window_stats/full_stats unused; chart_sleeve_attribution uncalled), falsy-zero em-dash rendering in the sleeve stats table, sqrt(252) annualisation on a ~246.5-bar calendar (uniform across artefacts, ~1% relative overstatement of vol), and build_factsheet's final print failing for --out paths outside the repository.</w:t>
      </w:r>
    </w:p>
    <w:p>
      <w:pPr>
        <w:pStyle w:val="ListParagraph"/>
        <w:numPr>
          <w:ilvl w:val="0"/>
          <w:numId w:val="2"/>
        </w:numPr>
        <w:spacing w:after="60"/>
      </w:pPr>
      <w:r>
        <w:t xml:space="preserve">Watchpoint: first US-holiday-with-Xetra-open after any live-track refactor (next: Labor Day, Monday 2026-09-07) - the phantom-bar regression test covers the mechanism.</w:t>
      </w:r>
    </w:p>
    <w:p>
      <w:pPr>
        <w:pStyle w:val="ListParagraph"/>
        <w:numPr>
          <w:ilvl w:val="0"/>
          <w:numId w:val="2"/>
        </w:numPr>
        <w:spacing w:after="60"/>
      </w:pPr>
      <w:r>
        <w:t xml:space="preserve">Convention guard: any new metric surface must reuse overlay_state / ytd_ret / the shared JS helpers and ship a cross-artefact agreement test in the pattern of tests/test_wtd_logic.py.</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audit session (Fable 5), under direction of Zhenghao Phua</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2026-07-18</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Monitor-repo registry coverage fix; next scheduled staged review of the deployed configuration</w:t>
            </w:r>
          </w:p>
        </w:tc>
      </w:tr>
    </w:tbl>
    <w:p>
      <w:pPr>
        <w:spacing w:after="100" w:before="0"/>
      </w:pPr>
      <w:r>
        <w:t xml:space="preserve"/>
      </w:r>
    </w:p>
    <w:p>
      <w:pPr>
        <w:spacing w:after="120" w:before="0"/>
      </w:pPr>
      <w:r>
        <w:rPr>
          <w:i/>
          <w:iCs/>
          <w:color w:val="777777"/>
          <w:sz w:val="17"/>
          <w:szCs w:val="17"/>
        </w:rPr>
        <w:t xml:space="preserve">Personal research artefact. All performance figures are simulated backtests or paper-track marks, net of stated costs; nothing here is investment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Reporting-layer audit — breadth-thrust-etf</w:t>
    </w:r>
    <w:r>
      <w:rPr>
        <w:color w:val="808080"/>
        <w:sz w:val="16"/>
        <w:szCs w:val="16"/>
      </w:rPr>
      <w:t xml:space="preserve">	Saturday, 18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2026-07-18T10:18:33.857Z</dcterms:created>
  <dcterms:modified xsi:type="dcterms:W3CDTF">2026-07-18T10:18:33.857Z</dcterms:modified>
</cp:coreProperties>
</file>

<file path=docProps/custom.xml><?xml version="1.0" encoding="utf-8"?>
<Properties xmlns="http://schemas.openxmlformats.org/officeDocument/2006/custom-properties" xmlns:vt="http://schemas.openxmlformats.org/officeDocument/2006/docPropsVTypes"/>
</file>