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Strategy review record</w:t>
      </w:r>
    </w:p>
    <w:p>
      <w:pPr>
        <w:spacing w:after="40"/>
      </w:pPr>
      <w:r>
        <w:rPr>
          <w:color w:val="404040"/>
          <w:sz w:val="24"/>
          <w:szCs w:val="24"/>
        </w:rPr>
        <w:t xml:space="preserve">breadth-thrust-etf — Workstream 2 (universe)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Thursday, 2 July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breadth-thrust-etf (personal research artefact; all returns simulated)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REVIEW_PROMPT.md: Workstream 2 — trend-opportunity map, EEM coherence, overlap control, country-sleeve evaluation, the in-flight commodity-spot thread, and data-integrity gates on every addition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Evaluation window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2018-11-08 to 2026-06-16; split-half at 2022-09-08; commodity re-run ends 2026-06-12 (cache bound)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basis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Committed caches plus a fresh 16-line candidate panel (data/ws2_prices_cache.parquet, fetched 2026-07-02); every candidate ticker verified against two or more sources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WS1 harness inherited unchanged; deployed baselines rebuilt and regression-checked (ungated blend +1.196, identical to WS1); every add/drop pre-registered before results were seen; cheap reflex, kill on contact; blend-level decision numbers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Repository commits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903749c, 6747aae (branch main)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Running memo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RESEARCH_MEMO.md (repository root)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REVIEWED — zero additions survive; both pre-registered prunes rejected; one architectural change proposed for approval (EEM to overlay-only)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/>
      </w:pPr>
      <w:r>
        <w:rPr>
          <w:b/>
          <w:bCs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deployed universe survives a full overlap audit with zero forced changes: both pre-registered within-sleeve prunes fail the keep bar, and every proposed widening — country momentum sleeve, commodity-spot additions, factor lines — is killed or deferred on out-of-sample evidence rather than taste.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Overlap rule adopted: cluster at pairwise weekly correlation of 0.80 or above (full window, connected components); keep the most liquid line per cluster; reject any CANDIDATE above 0.90 to an incumbent (the IUIT/CNDX 0.97 prune generalised). Auto-rejected candidates: IEMG (0.998 to EEM), EWG and EWU (0.93-0.97 to VGK/EFA), DBE and GSG (0.94-0.96 to DBC).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blend's true US-beta concentration is now quantified: the 28 blend lines that link into one correlation cluster average 46.8% of NAV with an 83.5% peak; QQQ alone peaks at 24.1% look-through, held by Sleeves A and B simultaneously in 43% of weeks. Cross-sleeve same-beta duplication is retained as deliberate dual-signal coverage; the concentration number goes to Workstream 3 as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Country momentum sleeve KILLED on the pre-registered bar: 3 of 6 sub-periods against the 50/50 EEM+EFA benchmark, with the train half negative (-0.04 vs +0.18) — the ranking flips across the split and the whole edge sits in the 2022+ half. Long-window reconciliation confirms the earlier Idea 3 rejection: country momentum wins only in EM-favoured regimes; the Phase 22 overlay already expresses that bet with fewer knobs.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Commodity-spot thread KILLED on the fixed window: blend test-half delta -0.124 at 2 of 6 consistency with both sleeves widened; the widened B earns its improvement in the train half only (+1.15 train vs +0.66 test) — a backward-looking bet on the 2021-22 commodity bull. The kill stands even at zero add-cost, and DBE/GSG duplicate incumbent DBC at 0.94-0.96.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EEM coherence DECIDED: overlay-only. All four ablation cells sit within 0.009 full-window Sharpe, so the choice is architectural: removing EEM from Sleeve B ends a real double-count (peak look-through 15.0% of NAV; both roles held EEM on 26% of days), leaves B no worse standalone (+1.02 without vs +1.01 with), and preserves the validated Phase 22 EM-turn expression. Approval required before any deployed script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Data-integrity catch: FM (frontier) is a dead fund — liquidated January 2025 — caught by two-source ticker verification and excluded; frontier is currently uninvestable via clean US-listed ETFs. Session trials: 32 (21 new + 11 retro-logged from the commodity thread); cumulative register ~171 configurations for the Workstream 3 deflated-Sharpe audit.</w:t>
      </w:r>
    </w:p>
    <w:p>
      <w:pPr>
        <w:pStyle w:val="Heading1"/>
        <w:spacing w:after="120"/>
      </w:pPr>
      <w:r>
        <w:rPr>
          <w:b/>
          <w:bCs/>
        </w:rPr>
        <w:t xml:space="preserve">2. Method and data integrity</w:t>
      </w:r>
    </w:p>
    <w:p>
      <w:pPr>
        <w:spacing w:after="120"/>
      </w:pPr>
      <w:r>
        <w:t xml:space="preserve">All experiments run in new scripts (scripts/ws2_common.py, scripts/run_ws2_*.py) against the WS1 harness: fixed window, split-half at 2022-09-08, deployed per-sleeve costs (A 2 / B 2 / C 5 / D 9 bps) with a 2x stress, and the six-regime sub-period grid. The deployed baselines were rebuilt at W=200 and regression-checked against the WS1 result before any experiment (ungated blend Sharpe +1.196, exact match). Every script states its three silent-failure modes (look-ahead, window inconsistency, cost/FX realism) and defends each in code; every configuration was pre-registered before its performance was seen.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Ticker verification (two or more sources — yfinance metadata, data/ishares_catalogue.csv, BlackRock/aggregator pages): all sixteen panel lines verified. EWW (iShares MSCI Mexico) and EWS (iShares MSCI Singapore) confirmed via BlackRock product pages. FM returned a stub name from yfinance; web sources confirm the iShares Frontier and Select EM ETF was wound down with a last price of 2025-01-08 — EXCLUDED, and the survivorship gate is recorded as having caught a dead fund in the candidate list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Erratum to the WS0+WS1 record: it stated Sleeve A's tradeable universe as 13 lines. A recount of UNIVERSE_ETFS confirms 14 (15 registered minus IUIT); the README was correct. RESEARCH_MEMO.md carries the correction.</w:t>
      </w:r>
    </w:p>
    <w:p>
      <w:pPr>
        <w:pStyle w:val="Heading1"/>
        <w:spacing w:after="120"/>
      </w:pPr>
      <w:r>
        <w:rPr>
          <w:b/>
          <w:bCs/>
        </w:rPr>
        <w:t xml:space="preserve">3. Workstream 2 findings</w:t>
      </w:r>
    </w:p>
    <w:p>
      <w:pPr>
        <w:pStyle w:val="Heading2"/>
        <w:spacing w:after="120"/>
      </w:pPr>
      <w:r>
        <w:rPr>
          <w:b/>
          <w:bCs/>
        </w:rPr>
        <w:t xml:space="preserve">3.1 Overlap control — rule, matrix, look-through</w:t>
      </w:r>
    </w:p>
    <w:p>
      <w:pPr>
        <w:spacing w:after="120"/>
      </w:pPr>
      <w:r>
        <w:t xml:space="preserve">Seventy-two lines (all sleeve members, Sleeve D converted EUR to USD with the deployed FX series, plus all candidates), weekly Friday returns, 397 observations full window plus a trailing year. Eighteen pairs exceed 0.90; the load-bearing ones: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EEM / IEMG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0.998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 IEMG auto-rejected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XLRE (A) / VNQ (B)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cross-sleeve dual-signal REIT — deliberate, quantified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EFA / VGK (both 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0.984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within-B duplicate — prune tested (P1)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VGK-EWG / EFA-EWG / VGK-EWU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0.93-0.97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candidates EWG, EWU auto-rejected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DBC / GSG and DBC / DBE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0.94-0.96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commodity adds duplicate incumbent DBC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XLI (A) / PAVE (C)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0.954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thematic behaving as A's industrials beta — prune tested (P2)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SPY (A,B) / QQQ (A,B)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0.930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deployed dual-coverage core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ICLN / TAN and CIBR / SKYY (C)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 / 0.90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within-C duplicates — prune tested (P2)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TLT / IEF (B)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0.918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deliberate duration ladder — keep</w:t>
            </w:r>
          </w:p>
        </w:tc>
      </w:tr>
    </w:tbl>
    <w:p>
      <w:pPr>
        <w:spacing w:after="120"/>
      </w:pPr>
      <w:r>
        <w:t xml:space="preserve">Blend look-through (ungated 35/35/10/20, sleeve weight panels): the US-beta cluster averages 46.8% of NAV and peaks at 83.5%; QQQ 6.8% mean / 24.1% peak (jointly held by A and B in 43% of weeks); SPY 4.0% / 10.4%; IJR 2.1% / 13.7%. Trailing-year additions change no decision but add context: EEM-EWT 0.908 and EEM-EWY 0.906 (Taiwan and Korea have converged onto broad EM — EM is currently a semiconductor trade), IEF-SHY 0.901.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000625"/>
            <wp:effectExtent t="0" r="0" b="0" l="0"/>
            <wp:docPr id="1" name="ws2_correlation.png" descr="Figure 1 — weekly-return correlation matrix, fixed window 2018-11-08 to 2026-06-16 (labels coloured by bucket: A proxies, B, D, C, candidates). Full matrix in data/ws2_correlation.json." title="Figure 1 — weekly-return correlation matrix, fixed window 2018-11-08 to 2026-06-16 (labels coloured by bucket: A proxies, B, D, C, candidates). Full matrix in data/ws2_correlation.j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Figure 1 — weekly-return correlation matrix, fixed window 2018-11-08 to 2026-06-16 (labels coloured by bucket: A proxies, B, D, C, candidates). Full matrix in data/ws2_correlation.json.</w:t>
      </w:r>
    </w:p>
    <w:p>
      <w:pPr>
        <w:pStyle w:val="Heading2"/>
        <w:spacing w:after="120"/>
      </w:pPr>
      <w:r>
        <w:rPr>
          <w:b/>
          <w:bCs/>
        </w:rPr>
        <w:t xml:space="preserve">3.2 Pre-registered within-sleeve prunes — both rejected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1200"/>
        <w:gridCol w:w="1926"/>
      </w:tblGrid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Bundle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Sleeve dFull / dTest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Blend dFull / dTest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Consistency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P1: B drop VGK (0.984 to EFA)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+0.007 / -0.029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+0.004 / -0.003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3/6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— a wash; incumbent wins ties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P2: C drop TAN, SKYY, PAVE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-0.111 / +0.006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-0.021 / +0.001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1/6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 — actively harmful; DD -40.7% vs -36.1%</w:t>
            </w:r>
          </w:p>
        </w:tc>
      </w:tr>
    </w:tbl>
    <w:p>
      <w:pPr>
        <w:spacing w:after="120"/>
      </w:pPr>
      <w:r>
        <w:t xml:space="preserve">The dropped C names carried the sleeve's train half (2020 solar, 2021 infrastructure). Corollary recorded: correlation redundancy alone is not sufficient grounds to REMOVE an incumbent, mirroring the Phase 16 SLV lesson that a passed correlation gate is not sufficient grounds to ADD one.</w:t>
      </w:r>
    </w:p>
    <w:p>
      <w:pPr>
        <w:pStyle w:val="Heading2"/>
        <w:spacing w:after="120"/>
      </w:pPr>
      <w:r>
        <w:rPr>
          <w:b/>
          <w:bCs/>
        </w:rPr>
        <w:t xml:space="preserve">3.3 Country momentum sleeve — killed on the pre-registered bar</w:t>
      </w:r>
    </w:p>
    <w:p>
      <w:pPr>
        <w:spacing w:after="120"/>
      </w:pPr>
      <w:r>
        <w:t xml:space="preserve">Design (pre-registered): the deployed B formulation — graded (close-MA200)/MA200, top-K by signal share among positive names, SHY deficit floor, which IS the own-200d risk gate — on ten country lines (EWZ EWW EWY INDA EWT EWA EWS EWG EWU EWJ), headline K=3 at 5 bps one-way including cash legs; K in {2,4} and a +EEM variant reported, not selected. Bar: beat the 50/50 EEM+EFA benchmark on full window AND test half AND 4 of 6 sub-periods AND at 2x cost.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1160"/>
        <w:gridCol w:w="1160"/>
        <w:gridCol w:w="1160"/>
        <w:gridCol w:w="118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Train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2x cost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 DD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50/50 EEM+EFA benchmark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+0.18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-33.8%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U10 K=2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+1.30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+0.70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-38.6%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U10 K=3 (headline)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+1.27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+0.65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-35.3%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U10 K=4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+0.61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-31.4%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U11 (+EEM) K=3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+1.25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+0.61</w:t>
            </w:r>
          </w:p>
        </w:tc>
        <w:tc>
          <w:tcPr>
            <w:tcW w:type="dxa" w:w="11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-35.3%</w:t>
            </w:r>
          </w:p>
        </w:tc>
      </w:tr>
    </w:tbl>
    <w:p>
      <w:pPr>
        <w:spacing w:after="120"/>
      </w:pPr>
      <w:r>
        <w:t xml:space="preserve">Bar result: full PASS, test PASS, 2x PASS, sub-periods 3/6 FAIL — KILL (no blend variant run). The train half is negative against a positive benchmark: the ranking flips across the split and the edge is entirely post-2022. Long-window context (2004 start): the sleeve beats the benchmark 2004-2010 (0.91 vs 0.50) and 2022-now (0.74 vs 0.61) but loses 2011-2013 and 2014-2021 — country momentum is a regime bet on EM leadership, which the architecture already expresses through the Phase 22 overlay at 10% with 11 switches. Adding EEM inside the sleeve universe is strictly worse everywhere. FM excluded (liquidated); frontier uninvestable.</w:t>
      </w:r>
    </w:p>
    <w:p>
      <w:pPr>
        <w:pStyle w:val="Heading2"/>
        <w:spacing w:after="120"/>
      </w:pPr>
      <w:r>
        <w:rPr>
          <w:b/>
          <w:bCs/>
        </w:rPr>
        <w:t xml:space="preserve">3.4 Commodity-spot thread — killed on the fixed window</w:t>
      </w:r>
    </w:p>
    <w:p>
      <w:pPr>
        <w:spacing w:after="120"/>
      </w:pPr>
      <w:r>
        <w:t xml:space="preserve">The in-flight thread (scripts/run_commodity_expansion.py, 2026-07-01) proposed adding DBA/DBB/DBE to Sleeve B and DBC/DBA/DBB/DBE to Sleeve C. Method review: the engine is faithful (validated to 1e-9 against the deployed engine, re-asserted this session) and roll cost is correctly inside the ETF NAV, but the original inner-join truncated the C comparison to 2020-11, used MAR on its own windows, and had no split, sub-period or blend-level view. Its own numbers were already uniformly negative (dMAR negative at every start year 2008-2023, negative even at zero add-cost). Fixed-window re-run: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400"/>
        <w:gridCol w:w="1626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dFull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dTest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Consistency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 DD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+ DBA/DBB/DBE (sleeve)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-0.343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2/6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-16.2% vs -13.3%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+ DBC/DBA/DBB/DBE (sleeve)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2/6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-46.7% vs -36.1%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Blend, B widened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3/6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Blend, C widened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3/6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Blend, both widened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2/6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>KILL. The widened B's train half (+1.15) exceeds its test half (+0.66): the additions are a backward-looking bet on the 2021-22 commodity bull — the in-sample-only improvement pattern the cheap reflex exists to catch. GLD + DBC remain Sleeve B's commodity expression. The thread's script is filed in the repository as reviewed-and-rejected.</w:t>
      </w:r>
    </w:p>
    <w:p>
      <w:pPr>
        <w:pStyle w:val="Heading2"/>
        <w:spacing w:after="120"/>
      </w:pPr>
      <w:r>
        <w:rPr>
          <w:b/>
          <w:bCs/>
        </w:rPr>
        <w:t xml:space="preserve">3.5 EEM coherence — decision: overlay-only</w:t>
      </w:r>
    </w:p>
    <w:p>
      <w:pPr>
        <w:spacing w:after="120"/>
      </w:pPr>
      <w:r>
        <w:t xml:space="preserve">EEM appeared twice: as a Sleeve B rotation member AND as the Phase 22 overlay (EEM/SPY 50/200 golden cross tilting 10pp of NAV out of B). The 2x2 ablation isolates each role on the fixed window, ungated (Phase 19 gate applied afterwards as context; the gate reimplementation validated at +1.286 vs the committed +1.287). The third prompt option — decompose EM into a country sleeve — was killed in 3.3, so no fifth variant was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100"/>
        <w:gridCol w:w="1100"/>
        <w:gridCol w:w="1100"/>
        <w:gridCol w:w="1100"/>
        <w:gridCol w:w="1100"/>
      </w:tblGrid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 DD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Gated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V0 status quo (EEM in B + tilt)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+0.920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+1.279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 overlay-only (B w/o EEM + tilt)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+0.933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+1.544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+1.289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 B-member-only (no tilt)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+0.947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+1.509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+1.286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V3 neither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+0.964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-23.6%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+1.295</w:t>
            </w:r>
          </w:p>
        </w:tc>
      </w:tr>
    </w:tbl>
    <w:p>
      <w:pPr>
        <w:spacing w:after="120"/>
      </w:pPr>
      <w:r>
        <w:t xml:space="preserve">All four cells sit within 0.009 full-window Sharpe — statistically indistinguishable — so the decision is architectural. ADOPT V1 (overlay-only): remove EEM from Sleeve B's rotation universe (B becomes 12 rotation lines + SHY); the Phase 22 tilt becomes the system's one designated EM expression. It ends a real double-count (mean look-through EEM 4.5% of NAV, peak 15.0%, both roles holding simultaneously on 26% of days), is weakly dominant ungated, leaves B no worse standalone (+1.02 vs +1.01), and preserves the EM-turn expression whose walk-forward validation is on file. Choosing V3 on its +0.006 gated edge would be sequential tuning on noise. The tilt's own keep/kill (11 switches — few distinct bets) is reserved for the Workstream 3 overlay audit, deliberately not decided here.</w:t>
      </w:r>
    </w:p>
    <w:p>
      <w:pPr>
        <w:pStyle w:val="Heading2"/>
        <w:spacing w:after="120"/>
      </w:pPr>
      <w:r>
        <w:rPr>
          <w:b/>
          <w:bCs/>
        </w:rPr>
        <w:t xml:space="preserve">3.6 Trend-opportunity map</w:t>
      </w:r>
    </w:p>
    <w:p>
      <w:pPr>
        <w:spacing w:after="120"/>
      </w:pPr>
      <w:r>
        <w:t xml:space="preserve">The exposure space is either covered, deliberately not covered, or was evaluated and killed this session. Named gaps with status: frontier (uninvestable — FM liquidated); non-US rates (no clean USD-listed liquid vehicle set; low priority); styles/factors (marginal by construction — QUAL 0.985 to SPY auto-rejects, USMV/MTUM/VLUE at 0.889-0.896 sit ON the 0.9 flag boundary, and a factor sleeve adds a factor-timing knob with a weak prior; deferred behind a written distinct-exposure bar); ex-US DM sectors beyond D's five (requires point-in-time EU constituents — the expensive data bucket; deferred); credit (deliberate, HYG removal documented at Phase 24). Redundancies are quantified in 3.1 and are either deliberate (dual-signal core, duration ladder) or resolved (EEM double-count; candidate auto-rejects; prune bundles tested and rejected).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ws2_trend_map.png" descr="Figure 2 — trend-opportunity map: exposure buckets vs coverage, with per-bucket WS2 verdicts and their artefact basis." title="Figure 2 — trend-opportunity map: exposure buckets vs coverage, with per-bucket WS2 verdicts and their artefact ba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95959"/>
          <w:sz w:val="16"/>
          <w:szCs w:val="16"/>
        </w:rPr>
        <w:t xml:space="preserve">Figure 2 — trend-opportunity map: exposure buckets vs coverage, with per-bucket WS2 verdicts and their artefact basis.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4.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Overlap rule (cluster 0.80; reject candidates &gt;0.90 to incumbents)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ADOPT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IUIT/CNDX precedent generalised (3.1)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A universe (14 lines)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untouched by candidates or prunes; erratum corrected (2)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B: EEM membership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PROPOSE REMOVE — approval required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overlay-only role ends the double-count (3.5)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B: VGK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prune is a wash; incumbent wins ties (3.2)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B: TLT/IEF pair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deliberate duration ladder (3.1)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C universe (25 names)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prune bundle actively harmful (3.2)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Sleeve D universe (5 sectors)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widening blocked on point-in-time constituent cost (3.6)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Country momentum sleeve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fails pre-registered bar 3/6; regime bet duplicating Phase 22 (3.3)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Commodity-spot additions (B and C)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fails cheap reflex at sleeve and blend level (3.4)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Candidates IEMG, EWG, EWU, DBE, GSG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 0.90 to incumbents (3.1)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Factor sleeve (USMV/MTUM/QUAL/VLUE)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0.889-0.985 to SPY — marginal by construction (3.6)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22 EEM tilt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WS3 audit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one EM expression; bet-count audit reserved (3.5)</w:t>
            </w:r>
          </w:p>
        </w:tc>
      </w:tr>
    </w:tbl>
    <w:p>
      <w:pPr>
        <w:spacing w:after="120"/>
      </w:pPr>
      <w:r>
        <w:t xml:space="preserve">Trial register for the Workstream 3 deflated-Sharpe audit (each evaluated configuration counted once; 2x cost is a stress report of the same configuration): country sleeve 6 + benchmark 1; commodity fixed-window re-run 5; commodity thread of 2026-07-01 retro-logged 11; prunes 4; EEM coherence 5. Session total 32; cumulative across the review ~171 configurations.</w:t>
      </w:r>
    </w:p>
    <w:p>
      <w:pPr>
        <w:pStyle w:val="Heading2"/>
        <w:spacing w:after="120"/>
      </w:pPr>
      <w:r>
        <w:rPr>
          <w:b/>
          <w:bCs/>
        </w:rPr>
        <w:t xml:space="preserve">4.1 Proposed change awaiting approval</w:t>
      </w:r>
    </w:p>
    <w:p>
      <w:pPr>
        <w:spacing w:after="120"/>
      </w:pPr>
      <w:r>
        <w:t xml:space="preserve">Remove “EEM” from the UNIVERSE dictionary in scripts/run_asset_class_rotation.py (Sleeve B becomes 12 rotation lines + SHY cash floor); leave the Phase 22 overlay untouched as the sole EEM expression; re-run the pipeline and refresh committed JSONs. NOT applied this session — review-and-propose only. If approved, the change should land before the Workstream 3 heavy gate so the frozen shortlist reflects the final architecture.</w:t>
      </w:r>
    </w:p>
    <w:p>
      <w:pPr>
        <w:pStyle w:val="Heading1"/>
        <w:spacing w:after="120"/>
      </w:pPr>
      <w:r>
        <w:rPr>
          <w:b/>
          <w:bCs/>
        </w:rPr>
        <w:t xml:space="preserve">5. Artefact 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Scripts (new; deployed engines untouched): ws2_common.py, run_ws2_fetch_panel.py, run_ws2_correlation.py, run_ws2_country_sleeve.py, run_ws2_commodity_fixed.py, run_ws2_prune_tests.py, run_ws2_eem_coherence.py, run_ws2_trend_map.py; run_commodity_expansion.py filed as reviewed-and-rejected.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ws2_correlation.json, ws2_country_sleeve.json, ws2_commodity_fixed.json, ws2_prune_tests.json, ws2_eem_coherence.json, ws2_ticker_verification.json, ws2_baselines_meta.json; caches ws2_prices_cache.parquet, ws2_baseline_*.parquet, ws1_fx_eurusd_cache.parquet (WS1 leftover, now committed).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Charts: ws2_correlation.png (Figure 1), ws2_trend_map.png (Figure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Memo: RESEARCH_MEMO.md — Workstream 2 section, proposed target universe, trial register, WS0 erratum.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Commits: 903749c (harness + panel + verification), 6747aae (experiments + results + memo).</w:t>
      </w:r>
    </w:p>
    <w:p>
      <w:pPr>
        <w:pStyle w:val="Heading1"/>
        <w:spacing w:after="120"/>
      </w:pPr>
      <w:r>
        <w:rPr>
          <w:b/>
          <w:bCs/>
        </w:rPr>
        <w:t xml:space="preserve">6. Next phase</w:t>
      </w:r>
    </w:p>
    <w:p>
      <w:pPr>
        <w:spacing w:after="120"/>
      </w:pPr>
      <w:r>
        <w:t xml:space="preserve">Per the staged plan, the next session is Workstream 3 — the heavy robustness gate, run once on the frozen shortlist: deflated/haircut Sharpe across the ~171-configuration register, full-system walk-forward (weights, K, gate thresholds, tilt windows), 1x/2x/3x cost stress, the EEM-tilt bet-count audit (11 switches), the Sleeve C floor trade-off carried from WS1, and entry-point discipline checks. The shortlist freezes before that gate; nothing is re-optimised after seeing the haircut.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Code research session (Fable 5), under direction of Zhenghao Phua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Workstream 3 — heavy robustness gate (session 3 of the staged review)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737373"/>
          <w:sz w:val="16"/>
          <w:szCs w:val="16"/>
        </w:rPr>
        <w:t xml:space="preserve">Personal research artefact. All performance figures are simulated backtests in USD, net of stated costs; nothing in this document is investment advice.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cf8266b24cf98fd02414bb8688dbeb0f5e21dc.png"/><Relationship Id="rId8" Type="http://schemas.openxmlformats.org/officeDocument/2006/relationships/image" Target="media/f8172d8108ff74c4d3bf170c40c261b34da13c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2026-07-02T05:15:33.542Z</dcterms:created>
  <dcterms:modified xsi:type="dcterms:W3CDTF">2026-07-02T05:15:33.543Z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