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line="264"/>
      </w:pPr>
      <w:r>
        <w:rPr>
          <w:b/>
          <w:bCs/>
          <w:sz w:val="38"/>
          <w:szCs w:val="38"/>
        </w:rPr>
        <w:t xml:space="preserve">Did we tune this strategy to the past?</w:t>
      </w:r>
    </w:p>
    <w:p>
      <w:pPr>
        <w:spacing w:after="30" w:line="264"/>
      </w:pPr>
      <w:r>
        <w:rPr>
          <w:sz w:val="23"/>
          <w:szCs w:val="23"/>
        </w:rPr>
        <w:t xml:space="preserve">Settings review of the four-book ETF rotation strategy — plain-language summary</w:t>
      </w:r>
    </w:p>
    <w:p>
      <w:pPr>
        <w:spacing w:after="160" w:line="264"/>
      </w:pPr>
      <w:r>
        <w:rPr>
          <w:color w:val="555555"/>
          <w:sz w:val="19"/>
          <w:szCs w:val="19"/>
        </w:rPr>
        <w:t xml:space="preserve">Friday, 3 July 2026 · summary of the review conducted on 2 July 2026</w:t>
      </w:r>
    </w:p>
    <w:p>
      <w:pPr>
        <w:pBdr>
          <w:bottom w:val="single" w:color="1F3864" w:sz="8" w:space="1"/>
        </w:pBd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926"/>
      </w:tblGrid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8EE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sz w:val="21"/>
                <w:szCs w:val="21"/>
              </w:rPr>
              <w:t xml:space="preserve">The questions</w:t>
            </w:r>
          </w:p>
        </w:tc>
        <w:tc>
          <w:tcPr>
            <w:tcW w:type="dxa" w:w="6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 w:val="false"/>
                <w:bCs w:val="false"/>
                <w:sz w:val="21"/>
                <w:szCs w:val="21"/>
              </w:rPr>
              <w:t xml:space="preserve">The strategy was built by trial and error on 2018-2026 data. Two questions follow: are any of its settings fitted to the past rather than genuinely robust — and is a better setting being left on the table?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8EE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sz w:val="21"/>
                <w:szCs w:val="21"/>
              </w:rPr>
              <w:t xml:space="preserve">The answers</w:t>
            </w:r>
          </w:p>
        </w:tc>
        <w:tc>
          <w:tcPr>
            <w:tcW w:type="dxa" w:w="6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 w:val="false"/>
                <w:bCs w:val="false"/>
                <w:sz w:val="21"/>
                <w:szCs w:val="21"/>
              </w:rPr>
              <w:t xml:space="preserve">No and no. Every setting sits in a broad stable range; all ~139 tested 'improvements' did worse on data the models had never seen; and the best rival setting is statistically indistinguishable from the current one — its apparent edge would need about two more decades of data to be confirmed, and no real-time process captures it.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8EE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/>
                <w:bCs/>
                <w:sz w:val="21"/>
                <w:szCs w:val="21"/>
              </w:rPr>
              <w:t xml:space="preserve">How it was tested</w:t>
            </w:r>
          </w:p>
        </w:tc>
        <w:tc>
          <w:tcPr>
            <w:tcW w:type="dxa" w:w="6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52"/>
            </w:pPr>
            <w:r>
              <w:rPr>
                <w:b w:val="false"/>
                <w:bCs w:val="false"/>
                <w:sz w:val="21"/>
                <w:szCs w:val="21"/>
              </w:rPr>
              <w:t xml:space="preserve">Fixed 7.6-year window, realistic costs (re-tested at double), and everything after September 2022 held out as an honest exam.</w:t>
            </w:r>
          </w:p>
        </w:tc>
      </w:tr>
    </w:tbl>
    <w:p>
      <w:pPr>
        <w:spacing w:after="80" w:line="264"/>
      </w:pPr>
      <w:r>
        <w:t xml:space="preserve"/>
      </w:r>
    </w:p>
    <w:p>
      <w:pPr>
        <w:spacing w:after="110" w:before="30"/>
        <w:jc w:val="center"/>
      </w:pPr>
      <w:r>
        <w:drawing>
          <wp:inline distT="0" distB="0" distL="0" distR="0">
            <wp:extent cx="5524500" cy="1866900"/>
            <wp:effectExtent t="0" r="0" b="0" l="0"/>
            <wp:docPr id="1" name="ws1_sum_structure.png" descr="One portfolio of four rotation books with weights, plus two safety mechanisms" title="One portfolio of four rotation books with weights, plus two safety mechanis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line="264"/>
      </w:pPr>
      <w:r>
        <w:rPr>
          <w:b/>
          <w:bCs/>
          <w:sz w:val="24"/>
          <w:szCs w:val="24"/>
        </w:rPr>
        <w:t xml:space="preserve">1. The ten-month trend measure is the right speed — and it is not a lucky number.</w:t>
      </w:r>
    </w:p>
    <w:p>
      <w:pPr>
        <w:keepNext/>
        <w:spacing w:after="40" w:line="264"/>
      </w:pPr>
      <w:r>
        <w:rPr>
          <w:color w:val="444444"/>
        </w:rPr>
        <w:t xml:space="preserve">Thirteen speeds were tested from one month to fifteen months: fast settings were whipsawed in the choppy 2022 market, and everything from ten months up performs within a hair's breadth.</w:t>
      </w:r>
    </w:p>
    <w:p>
      <w:pPr>
        <w:spacing w:after="110" w:before="30"/>
        <w:jc w:val="center"/>
      </w:pPr>
      <w:r>
        <w:drawing>
          <wp:inline distT="0" distB="0" distL="0" distR="0">
            <wp:extent cx="5524500" cy="2733675"/>
            <wp:effectExtent t="0" r="0" b="0" l="0"/>
            <wp:docPr id="1" name="ws1_blend_surface_simple.png" descr="Risk-adjusted return versus trend length: slower is better and the current setting sits in the stable zone" title="Risk-adjusted return versus trend length: slower is better and the current setting sits in the stable z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line="264"/>
      </w:pPr>
      <w:r>
        <w:rPr>
          <w:i/>
          <w:iCs/>
          <w:color w:val="666666"/>
          <w:sz w:val="18"/>
          <w:szCs w:val="18"/>
        </w:rPr>
        <w:t xml:space="preserve">Risk-adjusted return = Sharpe ratio (return per volatility; higher is better; differences under ~0.4 here are noise). Even the best rival setting (275 days) leads by only +0.8%/yr — one standard error from zero; confirming it would take about two more decades of data.</w:t>
      </w:r>
    </w:p>
    <w:p>
      <w:pPr>
        <w:keepNext/>
        <w:spacing w:after="40" w:line="264"/>
      </w:pPr>
      <w:r>
        <w:rPr>
          <w:b/>
          <w:bCs/>
          <w:sz w:val="24"/>
          <w:szCs w:val="24"/>
        </w:rPr>
        <w:t xml:space="preserve">2. Leaving the setting alone beats re-tuning it.</w:t>
      </w:r>
    </w:p>
    <w:p>
      <w:pPr>
        <w:keepNext/>
        <w:spacing w:after="40" w:line="264"/>
      </w:pPr>
      <w:r>
        <w:rPr>
          <w:color w:val="444444"/>
        </w:rPr>
        <w:t xml:space="preserve">A manager who re-tunes the trend speed every January — using only information available at the time — finishes behind the one who never touches it. Discipline beats optimisation.</w:t>
      </w:r>
    </w:p>
    <w:p>
      <w:pPr>
        <w:spacing w:after="110" w:before="30"/>
        <w:jc w:val="center"/>
      </w:pPr>
      <w:r>
        <w:drawing>
          <wp:inline distT="0" distB="0" distL="0" distR="0">
            <wp:extent cx="5524500" cy="1590675"/>
            <wp:effectExtent t="0" r="0" b="0" l="0"/>
            <wp:docPr id="1" name="ws1_sum_retuning.png" descr="Re-tuning the trend speed yearly earned less than leaving the deployed setting alone" title="Re-tuning the trend speed yearly earned less than leaving the deployed setting al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line="264"/>
      </w:pPr>
      <w:r>
        <w:rPr>
          <w:b/>
          <w:bCs/>
          <w:sz w:val="24"/>
          <w:szCs w:val="24"/>
        </w:rPr>
        <w:t xml:space="preserve">3. Cleverer signal mathematics did not help.</w:t>
      </w:r>
    </w:p>
    <w:p>
      <w:pPr>
        <w:keepNext/>
        <w:spacing w:after="40" w:line="264"/>
      </w:pPr>
      <w:r>
        <w:rPr>
          <w:color w:val="444444"/>
        </w:rPr>
        <w:t xml:space="preserve">Sixteen of seventeen more sophisticated variants — volatility-adjusted signals, blends of several trend speeds — were worse on unseen data; the simple version is the strong version.</w:t>
      </w:r>
    </w:p>
    <w:p>
      <w:pPr>
        <w:spacing w:after="110" w:before="30"/>
        <w:jc w:val="center"/>
      </w:pPr>
      <w:r>
        <w:drawing>
          <wp:inline distT="0" distB="0" distL="0" distR="0">
            <wp:extent cx="5524500" cy="1304925"/>
            <wp:effectExtent t="0" r="0" b="0" l="0"/>
            <wp:docPr id="1" name="ws1_sum_smarter.png" descr="The deployed simple signal matches the best alternative and far exceeds the fully sophisticated version" title="The deployed simple signal matches the best alternative and far exceeds the fully sophisticated 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line="264"/>
      </w:pPr>
      <w:r>
        <w:rPr>
          <w:b/>
          <w:bCs/>
          <w:sz w:val="24"/>
          <w:szCs w:val="24"/>
        </w:rPr>
        <w:t xml:space="preserve">4. The safety brake is robust, not lucky — a long-standing caveat is retired.</w:t>
      </w:r>
    </w:p>
    <w:p>
      <w:pPr>
        <w:keepNext/>
        <w:spacing w:after="40" w:line="264"/>
      </w:pPr>
      <w:r>
        <w:rPr>
          <w:color w:val="444444"/>
        </w:rPr>
        <w:t xml:space="preserve">Its trigger levels came from a small search, which fairly raised an overfitting concern: all 25 sensible combinations were tested and every one improved both return and worst loss.</w:t>
      </w:r>
    </w:p>
    <w:p>
      <w:pPr>
        <w:spacing w:after="110" w:before="30"/>
        <w:jc w:val="center"/>
      </w:pPr>
      <w:r>
        <w:drawing>
          <wp:inline distT="0" distB="0" distL="0" distR="0">
            <wp:extent cx="5524500" cy="1581150"/>
            <wp:effectExtent t="0" r="0" b="0" l="0"/>
            <wp:docPr id="1" name="ws1_sum_brake.png" descr="The market-breadth brake improves risk-adjusted return and worst loss at every trigger setting tested" title="The market-breadth brake improves risk-adjusted return and worst loss at every trigger setting tes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line="264"/>
      </w:pPr>
      <w:r>
        <w:rPr>
          <w:b/>
          <w:bCs/>
          <w:sz w:val="24"/>
          <w:szCs w:val="24"/>
        </w:rPr>
        <w:t xml:space="preserve">5. The one tempting change was declined.</w:t>
      </w:r>
    </w:p>
    <w:p>
      <w:pPr>
        <w:keepNext/>
        <w:spacing w:after="40" w:line="264"/>
      </w:pPr>
      <w:r>
        <w:rPr>
          <w:color w:val="444444"/>
        </w:rPr>
        <w:t xml:space="preserve">Removing the thematic book's +5% entry hurdle lifts returns on unseen data but deepens that book's worst loss, all of it in 2022. The hurdle stays; the thematic book is on formal watch.</w:t>
      </w:r>
    </w:p>
    <w:p>
      <w:pPr>
        <w:spacing w:after="110" w:before="30"/>
        <w:jc w:val="center"/>
      </w:pPr>
      <w:r>
        <w:drawing>
          <wp:inline distT="0" distB="0" distL="0" distR="0">
            <wp:extent cx="5524500" cy="1676400"/>
            <wp:effectExtent t="0" r="0" b="0" l="0"/>
            <wp:docPr id="1" name="ws1_sum_thematic.png" descr="Removing the thematic entry hurdle improves return but unacceptably deepens worst loss" title="Removing the thematic entry hurdle improves return but unacceptably deepens worst lo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What an allocator should take away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t xml:space="preserve">Performance nowhere depends on a finely-tuned number — the review actively tried to find one and failed.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t xml:space="preserve">Every attempt to be cleverer than the deployed version lost on unseen data; the strategy has earned its simplicity.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t xml:space="preserve">The honest remaining risks are not settings: the thematic book is the weakest component (on watch), the history is only 7.6 years, and every figure is a backtest, not a live track record.</w:t>
      </w:r>
    </w:p>
    <w:p>
      <w:pPr>
        <w:spacing w:after="60" w:line="264"/>
      </w:pPr>
      <w:r>
        <w:t xml:space="preserve"/>
      </w:r>
    </w:p>
    <w:p>
      <w:pPr>
        <w:spacing w:after="120" w:line="264"/>
      </w:pPr>
      <w:r>
        <w:rPr>
          <w:i/>
          <w:iCs/>
          <w:color w:val="777777"/>
          <w:sz w:val="17"/>
          <w:szCs w:val="17"/>
        </w:rPr>
        <w:t xml:space="preserve">Document of record: reviews/2026-07-02_ws0-ws1_ma-robustness.docx (full methodology, tables and audit trail). Personal research artefact; all figures are simulated backtests in USD, net of stated costs; nothing here is investment advice.</w:t>
      </w:r>
    </w:p>
    <w:sectPr>
      <w:headerReference w:type="default" r:id="rId7"/>
      <w:footerReference w:type="default" r:id="rId8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color w:val="808080"/>
        <w:sz w:val="16"/>
        <w:szCs w:val="16"/>
      </w:rPr>
      <w:t xml:space="preserve">Rotation strategy — settings review, plain-language summary</w:t>
    </w:r>
    <w:r>
      <w:rPr>
        <w:color w:val="808080"/>
        <w:sz w:val="16"/>
        <w:szCs w:val="16"/>
      </w:rPr>
      <w:t xml:space="preserve">	3 July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bb87a37b312c92ce56dfa721d043ac023d14c51.png"/><Relationship Id="rId10" Type="http://schemas.openxmlformats.org/officeDocument/2006/relationships/image" Target="media/ab1c322f86fc6018d18edeb4bfb393fef0ebe744.png"/><Relationship Id="rId11" Type="http://schemas.openxmlformats.org/officeDocument/2006/relationships/image" Target="media/40a976a8bc4aa4540782ee4b2e25e5fd2ee5ecbb.png"/><Relationship Id="rId12" Type="http://schemas.openxmlformats.org/officeDocument/2006/relationships/image" Target="media/8f94ac6e514465ec960bd844116d9aa84c058bd0.png"/><Relationship Id="rId13" Type="http://schemas.openxmlformats.org/officeDocument/2006/relationships/image" Target="media/f27e0ca99989ae2d17f9d7b36eaa86820068b664.png"/><Relationship Id="rId14" Type="http://schemas.openxmlformats.org/officeDocument/2006/relationships/image" Target="media/51a910e4bbc4ca53baedbff61435d73fc6400ac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2026-07-02T23:49:03.505Z</dcterms:created>
  <dcterms:modified xsi:type="dcterms:W3CDTF">2026-07-02T23:49:03.505Z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