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WS15 — Survivorship on the published CNDX record</w:t>
      </w:r>
    </w:p>
    <w:p>
      <w:pPr>
        <w:spacing w:after="60" w:before="0"/>
      </w:pPr>
      <w:r>
        <w:rPr>
          <w:sz w:val="24"/>
          <w:szCs w:val="24"/>
        </w:rPr>
        <w:t xml:space="preserve">What the survivor-price defect was worth to the published cross-ETF OOS backtest, the residual WS11 missed, and the repair of a latent Monte Carlo defect</w:t>
      </w:r>
    </w:p>
    <w:p>
      <w:pPr>
        <w:spacing w:after="200" w:before="0"/>
      </w:pPr>
      <w:r>
        <w:rPr>
          <w:color w:val="555555"/>
          <w:sz w:val="20"/>
          <w:szCs w:val="20"/>
        </w:rPr>
        <w:t xml:space="preserve">Thursday, 13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(Personal). Follow-on to WS10 (cadence restatement), WS11 (constituent-price survivorship, blend restated 1.1640 to 1.1481) and WS12/WS13 (execution timing).</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US CNDX constituent panel only. Published surfaces: data/backtest_cndx_oos.json (2026-05-17 vintage, inlined nowhere on the live dashboard but committed and public) and the README cross-ETF OOS table. Other panels inventoried, not re-measured.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 2018-01-05 to 2026-08-07 (2,158 NYSE sessions); the published leg ends 2026-05-15. OOS trading eligibility from session 253 onward, as deployed.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yfinance auto_adjust=True cache (total-return) + Norgate Platinum TOTALRETURN fills; NDU updated 2026-08-13, delisted archive 21,099 symbols back to 1990. Coverage gate PASS before any pull.</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Five legs, one change at a time, all on one freshly-pulled QQQ/SPY basis. Reproduce-before-diff guards: the breadth driver reproduced the committed corrected series exactly; the T1 leg reproduced the published OOS file (trades exact, stats to ~3e-4 relative, seeded MC within ±2pp).</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9bf63e7 (published OOS + its breadth basis, 2026-05-17); 1ada87b (last survivor panel, 2026-08-08); b841f77 (WS11 restatement, 2026-08-10); working tree at 6abe564.</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 "WS15" section (2026-08-13).</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Published CNDX OOS row +44.5% / Sharpe 0.51 / MC 39.6 restates to +20.0% / 0.27 / MC 18.3; three-quarters of the fall is data-vintage artefact, not survivorship. RESTATEMENT PACKAGE PENDING SIGN-OFF; nothing published was touched.</w:t>
            </w:r>
          </w:p>
        </w:tc>
      </w:tr>
    </w:tbl>
    <w:p>
      <w:pPr>
        <w:spacing w:after="140" w:before="0"/>
      </w:pPr>
      <w:r>
        <w:t xml:space="preserve"/>
      </w:r>
    </w:p>
    <w:p>
      <w:pPr>
        <w:pStyle w:val="Heading1"/>
      </w:pPr>
      <w:r>
        <w:t xml:space="preserve">1. Executive summary</w:t>
      </w:r>
    </w:p>
    <w:p>
      <w:pPr>
        <w:pStyle w:val="ListParagraph"/>
        <w:numPr>
          <w:ilvl w:val="0"/>
          <w:numId w:val="2"/>
        </w:numPr>
        <w:spacing w:after="80"/>
      </w:pPr>
      <w:r>
        <w:rPr>
          <w:b/>
          <w:bCs/>
        </w:rPr>
        <w:t xml:space="preserve">The published CNDX OOS backtest is stale on every axis, not merely survivor-biased. </w:t>
      </w:r>
      <w:r>
        <w:t xml:space="preserve">Its 87 signal-fire days were computed on the May-2026 roster file and price vintage; only 35 of them survive the August roster rebuild at all. Re-priced on today’s data the headline variant falls from +44.5% total return / 0.51 Sharpe / MC percentile 39.6 to +20.0% / 0.27 / 18.3.</w:t>
      </w:r>
    </w:p>
    <w:p>
      <w:pPr>
        <w:pStyle w:val="ListParagraph"/>
        <w:numPr>
          <w:ilvl w:val="0"/>
          <w:numId w:val="2"/>
        </w:numPr>
        <w:spacing w:after="80"/>
      </w:pPr>
      <w:r>
        <w:rPr>
          <w:b/>
          <w:bCs/>
        </w:rPr>
        <w:t xml:space="preserve">Survivorship itself pushed the OTHER way on this surface. </w:t>
      </w:r>
      <w:r>
        <w:t xml:space="preserve">On the clean pair (identical window, roster, config and code; only the Norgate fill differs) correction ADDS +4.5pp total return and +0.04 Sharpe: the survivor panel had suppressed 8 genuine fire days and fabricated 1. The direction is opposite to the sleeve-A blend effect WS11 measured, which is why direction is measured, never assumed.</w:t>
      </w:r>
    </w:p>
    <w:p>
      <w:pPr>
        <w:pStyle w:val="ListParagraph"/>
        <w:numPr>
          <w:ilvl w:val="0"/>
          <w:numId w:val="2"/>
        </w:numPr>
        <w:spacing w:after="80"/>
      </w:pPr>
      <w:r>
        <w:rPr>
          <w:b/>
          <w:bCs/>
        </w:rPr>
        <w:t xml:space="preserve">WS11’s correction was itself incomplete. </w:t>
      </w:r>
      <w:r>
        <w:t xml:space="preserve">Its backfill only treated all-NaN columns, so reuse-masked names were skipped: Facebook missing 1,115 roster-days (2018 to mid-2022), 21st Century Fox 295/296, Priceline 38, plus EA’s final 11 sessions and MNST’s 14-session split hole. The WS15 fill takes 2018 median coverage from 97.1% to 100.0% and residual gaps from 1,805 roster-days to 35, all unfillable by design.</w:t>
      </w:r>
    </w:p>
    <w:p>
      <w:pPr>
        <w:pStyle w:val="ListParagraph"/>
        <w:numPr>
          <w:ilvl w:val="0"/>
          <w:numId w:val="2"/>
        </w:numPr>
        <w:spacing w:after="80"/>
      </w:pPr>
      <w:r>
        <w:rPr>
          <w:b/>
          <w:bCs/>
        </w:rPr>
        <w:t xml:space="preserve">Every variant of the published table sits below its random-entry null median after correction </w:t>
      </w:r>
      <w:r>
        <w:t xml:space="preserve">(MC percentiles 1.9 to 18.3). The CNDX thrust edge, as published, does not survive its own data corrections.</w:t>
      </w:r>
    </w:p>
    <w:p>
      <w:pPr>
        <w:pStyle w:val="ListParagraph"/>
        <w:numPr>
          <w:ilvl w:val="0"/>
          <w:numId w:val="2"/>
        </w:numPr>
        <w:spacing w:after="80"/>
      </w:pPr>
      <w:r>
        <w:rPr>
          <w:b/>
          <w:bCs/>
        </w:rPr>
        <w:t xml:space="preserve">A latent Monte Carlo defect in backtest.py was found and fixed: </w:t>
      </w:r>
      <w:r>
        <w:t xml:space="preserve">the Phase 10.2 non-overlap sampler returned zero valid null paths on this input shape (all 1,000 discarded, every MC field None). No committed artefact carries the damage; the fix is pinned by a regression suite (35 backtest tests pass).</w:t>
      </w:r>
    </w:p>
    <w:p>
      <w:pPr>
        <w:pStyle w:val="ListParagraph"/>
        <w:numPr>
          <w:ilvl w:val="0"/>
          <w:numId w:val="2"/>
        </w:numPr>
        <w:spacing w:after="80"/>
      </w:pPr>
      <w:r>
        <w:rPr>
          <w:b/>
          <w:bCs/>
        </w:rPr>
        <w:t xml:space="preserve">The class is far larger outside CNDX: </w:t>
      </w:r>
      <w:r>
        <w:t xml:space="preserve">36,862 residual roster-days across 199 names in the other 13 US panels, including the 2023 bank failures (SIVB, FRC, SBNY) absent from financials breadth during the crisis they defined, and Brown-Forman (BFB) unpriced for the entire history via a ticker-normalisation gap. Inventoried only; queued as a follow-on decision.</w:t>
      </w:r>
    </w:p>
    <w:p>
      <w:pPr>
        <w:pStyle w:val="Heading1"/>
        <w:pageBreakBefore/>
      </w:pPr>
      <w:r>
        <w:t xml:space="preserve">2. The five legs</w:t>
      </w:r>
    </w:p>
    <w:p>
      <w:pPr>
        <w:spacing w:after="120" w:before="0"/>
      </w:pPr>
      <w:r>
        <w:t xml:space="preserve">Each leg changes exactly one thing. T1 must reproduce the published artefact before any comparison is drawn — it does: trade counts, win rates and holding periods are exact; returns and Sharpe agree to ~3e-4 relative (residual = vendor bar revisions since May); the seeded Monte Carlo reproduces within ±2 percentile points. All legs trade one freshly-pulled QQQ/SPY basis, so a dividend that went ex after a window rescales that whole window by one constant and cancels in returns, stops and Sharpe.</w:t>
      </w:r>
    </w:p>
    <w:p>
      <w:pPr>
        <w:spacing w:after="40" w:before="120"/>
        <w:jc w:val="center"/>
      </w:pPr>
      <w:r>
        <w:drawing>
          <wp:inline distT="0" distB="0" distL="0" distR="0">
            <wp:extent cx="5715000" cy="2924175"/>
            <wp:effectExtent t="0" r="0" b="0" l="0"/>
            <wp:docPr id="1" name="ws15_decomposition.png" descr="The published result, re-priced one change at a time (headline variant). Bars are total return over the eligible window with the signal count inside each bar; diamonds are annualised Sharpe. The fall from the second to the third bar is the August data refresh (roster rebuild + vendor re-basing + three more months), not survivorship; the survivorship step (third to fourth) is positive." title="The published result, re-priced one change at a time (headline variant). Bars are total return over the eligible window with the signal count inside each bar; diamonds are annualised Sharpe. The fall from the second to the third bar is the August data refresh (roster rebuild + vendor re-basing + three more months), not survivorship; the survivorship step (third to fourth) is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24175"/>
                    </a:xfrm>
                    <a:prstGeom prst="rect">
                      <a:avLst/>
                    </a:prstGeom>
                  </pic:spPr>
                </pic:pic>
              </a:graphicData>
            </a:graphic>
          </wp:inline>
        </w:drawing>
      </w:r>
    </w:p>
    <w:p>
      <w:pPr>
        <w:spacing w:after="180" w:before="0"/>
        <w:jc w:val="center"/>
      </w:pPr>
      <w:r>
        <w:rPr>
          <w:i/>
          <w:iCs/>
          <w:color w:val="666666"/>
          <w:sz w:val="18"/>
          <w:szCs w:val="18"/>
        </w:rPr>
        <w:t xml:space="preserve">The published result, re-priced one change at a time (headline variant). Bars are total return over the eligible window with the signal count inside each bar; diamonds are annualised Sharpe. The fall from the second to the third bar is the August data refresh (roster rebuild + vendor re-basing + three more months), not survivorship; the survivorship step (third to fourth) is positive.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700"/>
        <w:gridCol w:w="1000"/>
        <w:gridCol w:w="1200"/>
        <w:gridCol w:w="1000"/>
        <w:gridCol w:w="926"/>
      </w:tblGrid>
      <w:tr>
        <w:trPr>
          <w:tblHeader/>
        </w:trPr>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Leg</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Signals</w:t>
            </w:r>
          </w:p>
        </w:tc>
        <w:tc>
          <w:tcPr>
            <w:tcW w:type="dxa" w:w="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Win %</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Total ret %</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Sharpe</w:t>
            </w:r>
          </w:p>
        </w:tc>
        <w:tc>
          <w:tcPr>
            <w:tcW w:type="dxa" w:w="9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MC pctile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T1 published repro (May code, May panel)</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87</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61.5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+44.5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+0.51</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39.6</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T2 today’s code, May panel</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87</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61.5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+44.5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+0.51</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37.5</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T3 Aug panel, survivor prices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36</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53.8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+0.25</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14.4</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T4 Aug panel, WS11 corrected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43</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53.3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+0.29</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19.5</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T5 Aug panel, WS15 residual-fixed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42</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46.7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+0.27</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18.3</w:t>
            </w:r>
          </w:p>
        </w:tc>
      </w:tr>
    </w:tbl>
    <w:p>
      <w:pPr>
        <w:spacing w:after="100" w:before="0"/>
      </w:pPr>
      <w:r>
        <w:t xml:space="preserve"/>
      </w:r>
    </w:p>
    <w:p>
      <w:pPr>
        <w:spacing w:after="120" w:before="0"/>
      </w:pPr>
      <w:r>
        <w:t xml:space="preserve">Variant shown: regime_time_only_delay5_trend, the README table’s bolded column. Attribution of the published-to-truth fall of 24.5pp total return: code evolution ≈0; data refresh −26.2pp (Sharpe −0.26); survivorship +4.5pp (+0.04); WS15 residual −2.8pp (−0.02). MC percentiles are comparable within T2–T5 (one null definition, one seed); T1’s MC is the published pre-non-overlap definition.</w:t>
      </w:r>
    </w:p>
    <w:p>
      <w:pPr>
        <w:pStyle w:val="Heading2"/>
      </w:pPr>
      <w:r>
        <w:t xml:space="preserve">All three variants, published versus current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tblHeader/>
        </w:trPr>
        <w:tc>
          <w:tcPr>
            <w:tcW w:type="dxa" w:w="33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Variant</w:t>
            </w:r>
          </w:p>
        </w:tc>
        <w:tc>
          <w:tcPr>
            <w:tcW w:type="dxa" w:w="1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Published (T1)</w:t>
            </w:r>
          </w:p>
        </w:tc>
        <w:tc>
          <w:tcPr>
            <w:tcW w:type="dxa" w:w="1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Corrected (T4)</w:t>
            </w:r>
          </w:p>
        </w:tc>
        <w:tc>
          <w:tcPr>
            <w:tcW w:type="dxa" w:w="1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Residual-fixed (T5)</w:t>
            </w:r>
          </w:p>
        </w:tc>
      </w:tr>
      <w:tr>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baseline_2xATR</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+10.3% / +0.19 / 22.6</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−11.0% / −0.16 / 6.0</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−18.6% / −0.32 / 1.9</w:t>
            </w:r>
          </w:p>
        </w:tc>
      </w:tr>
      <w:tr>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regime_time_only</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+23.4% / +0.29 / 18.9</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+14.2% / +0.20 / 9.0</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+4.4% / +0.10 / 5.7</w:t>
            </w:r>
          </w:p>
        </w:tc>
      </w:tr>
      <w:tr>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regime_time_only_delay5_trend</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+44.5% / +0.51 / 39.6</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+22.8% / +0.29 / 19.5</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+20.0% / +0.27 / 18.3</w:t>
            </w:r>
          </w:p>
        </w:tc>
      </w:tr>
    </w:tbl>
    <w:p>
      <w:pPr>
        <w:spacing w:after="100" w:before="0"/>
      </w:pPr>
      <w:r>
        <w:t xml:space="preserve"/>
      </w:r>
    </w:p>
    <w:p>
      <w:pPr>
        <w:spacing w:after="120" w:before="0"/>
      </w:pPr>
      <w:r>
        <w:t xml:space="preserve">Cells are total return / Sharpe / MC percentile. The README cross-ETF OOS table’s CNDX row (0.19/22 · 0.29/19 · 0.51/39) is the T1 column to the digit — the published basis is pinned, and every variant now sits well below its null median.</w:t>
      </w:r>
    </w:p>
    <w:p>
      <w:pPr>
        <w:pStyle w:val="Heading1"/>
        <w:pageBreakBefore/>
      </w:pPr>
      <w:r>
        <w:t xml:space="preserve">3. The residual WS11 missed</w:t>
      </w:r>
    </w:p>
    <w:p>
      <w:pPr>
        <w:spacing w:after="120" w:before="0"/>
      </w:pPr>
      <w:r>
        <w:t xml:space="preserve">backfill_delisted_prices treats a column as unpriced only when it is absent or all-NaN. A column holding unrelated ticker-reuse bars therefore counted as priced and was skipped, even though it was empty across the roster’s held window. The sweep below is held-window-aware: it counts roster-days on which a held name has no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400"/>
        <w:gridCol w:w="2100"/>
        <w:gridCol w:w="1626"/>
      </w:tblGrid>
      <w:tr>
        <w:trPr>
          <w:tblHeader/>
        </w:trPr>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Name</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Roster-days missing</w:t>
            </w:r>
          </w:p>
        </w:tc>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Span</w:t>
            </w:r>
          </w:p>
        </w:tc>
        <w:tc>
          <w:tcPr>
            <w:tcW w:type="dxa" w:w="2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Source of fill</w:t>
            </w:r>
          </w:p>
        </w:tc>
        <w:tc>
          <w:tcPr>
            <w:tcW w:type="dxa" w:w="1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Mode</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FB</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1,115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2018-01-05 to 2022-06-09</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META (Meta Platforms)</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raw, era barrier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FOX</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296</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2018-01-05 to 2019-03-12</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TFCF-201903 (21CF B)</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raw, era barrier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FOXA</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295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2018-01-05 to 2019-03-11</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TFCFA-201903 (21CF A)</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raw, era barrier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PCLN</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2018-01-05 to 2018-03-01</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BKNG (Booking Holdings)</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raw, era barrier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EA</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2026-07-20 to 2026-08-03</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EA-202608</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rescaled ×1.000000</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MNST</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2026-07-20 to 2026-08-07</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MNST (live)</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rescaled ×2.000000</w:t>
            </w:r>
          </w:p>
        </w:tc>
      </w:tr>
    </w:tbl>
    <w:p>
      <w:pPr>
        <w:spacing w:after="100" w:before="0"/>
      </w:pPr>
      <w:r>
        <w:t xml:space="preserve"/>
      </w:r>
    </w:p>
    <w:p>
      <w:pPr>
        <w:spacing w:after="120" w:before="0"/>
      </w:pPr>
      <w:r>
        <w:t xml:space="preserve">Every mapping was verified against Norgate security_name before use (the WS11 lesson: fourteen “obvious successor” guesses were wrong). Same-security splices are rescaled onto the column’s own basis via the median overlap ratio with a stability assertion — MNST’s ratio of exactly 2.000000 is the 2-for-1 split factor, and gluing without it would have fabricated a −50% day. Cross-security columns get an era barrier: no indicator window ever spans two securities, which exactly preserves the committed panel’s fresh-listing warmup treatment of early Fox Corporation. The 24 WS11 fill columns were also extended back through the 2017-07 warmup they lacked (3,000 bars), so early-2018 moving averages exist from the first breadth date. After the fill, 35 roster-day gaps remain — all stale-roster tails (the security was already dead while listed) or by-design exclusions (TMUSR rights line, VSNTV UW composite).</w:t>
      </w:r>
    </w:p>
    <w:p>
      <w:pPr>
        <w:spacing w:after="40" w:before="120"/>
        <w:jc w:val="center"/>
      </w:pPr>
      <w:r>
        <w:drawing>
          <wp:inline distT="0" distB="0" distL="0" distR="0">
            <wp:extent cx="5715000" cy="2476500"/>
            <wp:effectExtent t="0" r="0" b="0" l="0"/>
            <wp:docPr id="1" name="ws15_coverage.png" descr="Median share of the CNDX roster carrying a usable price, by year. The survivor panel (red) climbs toward the survivors; WS11 (navy) recovered most of it; WS15 (teal) closes the reuse-masked residual to 100.0% in every year." title="Median share of the CNDX roster carrying a usable price, by year. The survivor panel (red) climbs toward the survivors; WS11 (navy) recovered most of it; WS15 (teal) closes the reuse-masked residual to 100.0% in ever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spacing w:after="180" w:before="0"/>
        <w:jc w:val="center"/>
      </w:pPr>
      <w:r>
        <w:rPr>
          <w:i/>
          <w:iCs/>
          <w:color w:val="666666"/>
          <w:sz w:val="18"/>
          <w:szCs w:val="18"/>
        </w:rPr>
        <w:t xml:space="preserve">Median share of the CNDX roster carrying a usable price, by year. The survivor panel (red) climbs toward the survivors; WS11 (navy) recovered most of it; WS15 (teal) closes the reuse-masked residual to 100.0% in every year.</w:t>
      </w:r>
    </w:p>
    <w:p>
      <w:pPr>
        <w:spacing w:after="120" w:before="0"/>
      </w:pPr>
      <w:r>
        <w:t xml:space="preserve">Signal-set effect of the residual fix, corrected versus WS15: 40 of 43 fire days common; lost 2019-03-15, 2019-11-08 and 2026-05-06; gained 2023-12-01 and 2025-06-30. A current-year published signal (2026-05-06) moves under a data fix whose newest bar is 2022 — expanding thresholds propagate history changes forward, which is the mechanism by which early-year coverage defects contaminate recent signals.</w:t>
      </w:r>
    </w:p>
    <w:p>
      <w:pPr>
        <w:pStyle w:val="Heading1"/>
        <w:pageBreakBefore/>
      </w:pPr>
      <w:r>
        <w:t xml:space="preserve">4. Classifications, from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600"/>
        <w:gridCol w:w="2326"/>
      </w:tblGrid>
      <w:tr>
        <w:trPr>
          <w:tblHeader/>
        </w:trPr>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Name</w:t>
            </w:r>
          </w:p>
        </w:tc>
        <w:tc>
          <w:tcPr>
            <w:tcW w:type="dxa" w:w="2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Queue-entry claim</w:t>
            </w:r>
          </w:p>
        </w:tc>
        <w:tc>
          <w:tcPr>
            <w:tcW w:type="dxa" w:w="3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Evidence</w:t>
            </w:r>
          </w:p>
        </w:tc>
        <w:tc>
          <w:tcPr>
            <w:tcW w:type="dxa" w:w="23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Classification</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MNST</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Norgate LIVE, quoting through 2026-08-12; yfinance serves pre-split bars unhalved beside post-split bars and drops Monday 2026-08-10</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Live; yfinance MIS-ADJUSTED around the 2026-08-11 2-for-1 split. URGENT ingestion hazard</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EA</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EA-202608, last quoted 2026-08-04 (Electronic Arts); yfinance stopped serving three weeks earlier</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Genuine delisting; final 11 sessions recovered from Norgate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SPCX</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Space Exploration Technologies Class A, live, young listing</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defect: inside 50-session warmup</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HONA</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Honeywell Aerospace Inc, live, young listing</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defect: inside 50-session warmup</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HOLX</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“live listing, empty — fetch defect”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HOLX-202604, last quoted 2026-04-06 (Hologic)</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Genuine delisting, correctly filled by WS11; claim stale when written</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WBA</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WBA-202508, last quoted 2025-08-27 (Walgreens Boots Alliance)</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Genuine delisting, correctly filled by WS11</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ANSS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ANSS-202507, last quoted 2025-07-16 (ANSYS)</w:t>
            </w:r>
          </w:p>
        </w:tc>
        <w:tc>
          <w:tcPr>
            <w:tcW w:type="dxa" w:w="2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Genuine delisting, correctly filled by WS11</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MNST is the urgent item: the next refresh would replace the column wholesale with a mixed-basis series carrying a spurious −50% step on 2026-08-11, poisoning ~50 sessions of MA breadth and ~200 sessions of sleeve A’s 200-day panel for that name. No existing guard checks per-name basis continuity — the coverage floors count names, not levels. Options before Friday 2026-08-15: exclude/refetch MNST once the vendor repairs the factor, source the name from Norgate, or adopt a basis-continuity guard in download_prices (patch to be presented, not applied).</w:t>
            </w:r>
          </w:p>
        </w:tc>
      </w:tr>
    </w:tbl>
    <w:p>
      <w:pPr>
        <w:spacing w:after="120" w:before="0"/>
      </w:pPr>
      <w:r>
        <w:t xml:space="preserve"/>
      </w:r>
    </w:p>
    <w:p>
      <w:pPr>
        <w:pStyle w:val="Heading1"/>
      </w:pPr>
      <w:r>
        <w:t xml:space="preserve">5. The Monte Carlo defect and its repair</w:t>
      </w:r>
    </w:p>
    <w:p>
      <w:pPr>
        <w:spacing w:after="120" w:before="0"/>
      </w:pPr>
      <w:r>
        <w:t xml:space="preserve">The Phase 10.2 sampler (2026-05-25) placed each random entry uniformly over all remaining feasible positions while reserving room for later trades at only the minimum holding (one session here). Early entries scattered deep into the window and stranded the rest: on this input (13 trades, 596 holding sessions, ~1,750-session window) every one of 1,000 restart-bounded paths came back partial, monte_carlo_null discarded them all, and every MC field was None. Nothing was regenerated between that commit and today, so no committed artefact carries the damage — but any regeneration would have shipped an empty null. The replacement bootstraps the holding lengths, then places all entries at once through a gap transform (sorted iid draws on the exact feasible box, shifted by occupied space): a feasible configuration is never dead-ended, infeasibility returns an empty path only after holding redraws, and a gapped eligibility window is refused loudly. Pinned by tests/test_mc_nonoverlap_sampler.py: the exact failing shape must fit in 200 of 200 paths, tight-window and infeasible cases behave, and an end-to-end null on synthetic data yields ≥199/200 valid paths. The full backtest suite (35 tests) passes.</w:t>
      </w:r>
    </w:p>
    <w:p>
      <w:pPr>
        <w:pStyle w:val="Heading1"/>
      </w:pPr>
      <w:r>
        <w:t xml:space="preserve">6. The class outside CNDX (inventory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926"/>
        <w:gridCol w:w="1900"/>
        <w:gridCol w:w="1000"/>
      </w:tblGrid>
      <w:tr>
        <w:trPr>
          <w:tblHeader/>
        </w:trPr>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Panel</w:t>
            </w:r>
          </w:p>
        </w:tc>
        <w:tc>
          <w:tcPr>
            <w:tcW w:type="dxa" w:w="49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Largest gaps</w:t>
            </w:r>
          </w:p>
        </w:tc>
        <w:tc>
          <w:tcPr>
            <w:tcW w:type="dxa" w:w="1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Residual roster-days</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Names</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CSP1</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SIVB 1,269 · FB 1,115 · FRC 1,091 · INFO 1,047 · COG 946 · LB 902</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9,789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76</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IUSP</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NSA 2,146 · MPW 2,032 · KW 1,944 — structural, needs own diagnosis</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14,387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41</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IUFS</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SIVB 1,269 · FRC 1,091 · STI 488 · SBNY 322 — the 2023 bank failures</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3,185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IUCS</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BFB 2,158 (entire history; iShares “BFB” vs yfinance “BF-B”) · MNST 15</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2,175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IUES</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COG 941 · APC 400 · NFX 279</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1,691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Other 8 panels</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IUCD LB 902 · IUCM FB 936 · SOXX WOLF 741 · IUIS INFO 1,047/ARNC 562 · IUMS DWDP 356 · IUIT FB 179</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5,635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60</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Total (13 panels)</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CNDX after WS15: 35 roster-days, the unfillable floor</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36,862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199</w:t>
            </w:r>
          </w:p>
        </w:tc>
      </w:tr>
    </w:tbl>
    <w:p>
      <w:pPr>
        <w:spacing w:after="100" w:before="0"/>
      </w:pPr>
      <w:r>
        <w:t xml:space="preserve"/>
      </w:r>
    </w:p>
    <w:p>
      <w:pPr>
        <w:spacing w:after="120" w:before="0"/>
      </w:pPr>
      <w:r>
        <w:t xml:space="preserve">Direction unknown per panel and never assumed — on this study’s own evidence the same defect flattered the blend (WS11) and penalised the CNDX OOS surface (finding 2). Financials breadth excluding SIVB/FRC/SBNY during March 2023 is the highest-risk item qualitatively: excluding crashing names flatters breadth exactly when the sleeve is deciding. Any fix moves sleeve A’s restated 0.9132 again and stacks with the queued sleeve-D (Europe) decision.</w:t>
      </w:r>
    </w:p>
    <w:p>
      <w:pPr>
        <w:pStyle w:val="Heading1"/>
        <w:pageBreakBefore/>
      </w:pPr>
      <w:r>
        <w:t xml:space="preserve">7.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600"/>
        <w:gridCol w:w="4600"/>
      </w:tblGrid>
      <w:tr>
        <w:trPr>
          <w:tblHeader/>
        </w:trPr>
        <w:tc>
          <w:tcPr>
            <w:tcW w:type="dxa" w:w="2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data/backtest_cndx_oos.json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RESTATE (pending sign-off)</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Finding 2: stale on code, roster, prices and window; regenerate on T4 or T5 panel with repaired MC. Choice of panel follows the residual-fill adoption decision.</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README cross-ETF OOS table (CNDX row)</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RESTATE (pending sign-off)</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Carries T1 to the digit; correct row + dated note; CSP1/IUES/IUFS rows carry the same defect classes, unmeasured here.</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README early-phase per-ETF table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ANNOTATE (pending sign-off)</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Same vintage class, different engine; re-running that phase is a separate decision.</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WS15 residual fill into the live cache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OWNER CALL</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Closes 1,770 fillable roster-days; nudges sleeve A a third time; requires held-window-aware backfill patch.</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MNST ingestion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URGENT before 2026-08-15 refresh</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Finding 4 callout: mixed-basis vendor series; no guard would catch it.</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scripts/backtest.py MC sampler</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FIXED + TESTED (committed with study)</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Finding 5: latent, blocking any honest regeneration; no published figure depended on it.</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Cross-panel residual class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QUEUED</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Finding 6 inventory; measurement not commissioned under this scope.</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blend / factsheet / docs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UNTOUCHED</w:t>
            </w:r>
          </w:p>
        </w:tc>
        <w:tc>
          <w:tcPr>
            <w:tcW w:type="dxa" w:w="4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Restatement gate: nothing published changes before sign-off.</w:t>
            </w:r>
          </w:p>
        </w:tc>
      </w:tr>
    </w:tbl>
    <w:p>
      <w:pPr>
        <w:spacing w:after="100" w:before="0"/>
      </w:pPr>
      <w:r>
        <w:t xml:space="preserve"/>
      </w:r>
    </w:p>
    <w:p>
      <w:pPr>
        <w:pStyle w:val="Heading1"/>
      </w:pPr>
      <w:r>
        <w:t xml:space="preserve">8. Trial register</w:t>
      </w:r>
    </w:p>
    <w:p>
      <w:pPr>
        <w:spacing w:after="120" w:before="0"/>
      </w:pPr>
      <w:r>
        <w:t xml:space="preserve">No parameters were tuned and nothing was selected: five legs × three pre-existing fixed variants re-priced; zero new configurations searched. No multiple-testing haircut is owed by this study; it consumes the haircuts owed by the original SOXX-tuned configurations, which are unchanged.</w:t>
      </w:r>
    </w:p>
    <w:p>
      <w:pPr>
        <w:pStyle w:val="Heading1"/>
      </w:pPr>
      <w:r>
        <w:t xml:space="preserve">9. Artefact register</w:t>
      </w:r>
    </w:p>
    <w:p>
      <w:pPr>
        <w:pStyle w:val="ListParagraph"/>
        <w:numPr>
          <w:ilvl w:val="0"/>
          <w:numId w:val="3"/>
        </w:numPr>
        <w:spacing w:after="60"/>
      </w:pPr>
      <w:r>
        <w:t xml:space="preserve">Gate: scripts/run_ws15_gate.py → reviews/ws15_gate.json (PASS, 2026-08-13; NDU same-day, 21,099 delisted symbols to 1990, 27/27 symbols verified)</w:t>
      </w:r>
    </w:p>
    <w:p>
      <w:pPr>
        <w:pStyle w:val="ListParagraph"/>
        <w:numPr>
          <w:ilvl w:val="0"/>
          <w:numId w:val="3"/>
        </w:numPr>
        <w:spacing w:after="60"/>
      </w:pPr>
      <w:r>
        <w:t xml:space="preserve">Residual fill: scripts/run_ws15_residual_fill.py (working copy only; live cache untouched) → reviews/ws15/ws15_fill_report.json</w:t>
      </w:r>
    </w:p>
    <w:p>
      <w:pPr>
        <w:pStyle w:val="ListParagraph"/>
        <w:numPr>
          <w:ilvl w:val="0"/>
          <w:numId w:val="3"/>
        </w:numPr>
        <w:spacing w:after="60"/>
      </w:pPr>
      <w:r>
        <w:t xml:space="preserve">Breadth driver: scripts/run_ws15_breadth_legs.py (exact reproduction of the committed corrected series: 2,158 days, 43 signals, every 6dp value identical)</w:t>
      </w:r>
    </w:p>
    <w:p>
      <w:pPr>
        <w:pStyle w:val="ListParagraph"/>
        <w:numPr>
          <w:ilvl w:val="0"/>
          <w:numId w:val="3"/>
        </w:numPr>
        <w:spacing w:after="60"/>
      </w:pPr>
      <w:r>
        <w:t xml:space="preserve">OOS legs: scripts/run_ws15_oos_legs.py → reviews/ws15/ws15_oos_legs.json (T1 reproduction check embedded)</w:t>
      </w:r>
    </w:p>
    <w:p>
      <w:pPr>
        <w:pStyle w:val="ListParagraph"/>
        <w:numPr>
          <w:ilvl w:val="0"/>
          <w:numId w:val="3"/>
        </w:numPr>
        <w:spacing w:after="60"/>
      </w:pPr>
      <w:r>
        <w:t xml:space="preserve">Breadth comparison: scripts/build_ws15_breadth_compare.py → reviews/ws15/ws15_breadth_compare.json</w:t>
      </w:r>
    </w:p>
    <w:p>
      <w:pPr>
        <w:pStyle w:val="ListParagraph"/>
        <w:numPr>
          <w:ilvl w:val="0"/>
          <w:numId w:val="3"/>
        </w:numPr>
        <w:spacing w:after="60"/>
      </w:pPr>
      <w:r>
        <w:t xml:space="preserve">Cross-panel inventory: reviews/ws15/ws15_cross_panel_gaps.json</w:t>
      </w:r>
    </w:p>
    <w:p>
      <w:pPr>
        <w:pStyle w:val="ListParagraph"/>
        <w:numPr>
          <w:ilvl w:val="0"/>
          <w:numId w:val="3"/>
        </w:numPr>
        <w:spacing w:after="60"/>
      </w:pPr>
      <w:r>
        <w:t xml:space="preserve">Charts: scripts/plot_ws15_summary.py → reviews/charts/ws15_decomposition.png, ws15_coverage.png</w:t>
      </w:r>
    </w:p>
    <w:p>
      <w:pPr>
        <w:pStyle w:val="ListParagraph"/>
        <w:numPr>
          <w:ilvl w:val="0"/>
          <w:numId w:val="3"/>
        </w:numPr>
        <w:spacing w:after="60"/>
      </w:pPr>
      <w:r>
        <w:t xml:space="preserve">MC repair: scripts/backtest.py (_sample_non_overlapping_random_trades) + tests/test_mc_nonoverlap_sampler.py (35 backtest tests pass)</w:t>
      </w:r>
    </w:p>
    <w:p>
      <w:pPr>
        <w:pStyle w:val="ListParagraph"/>
        <w:numPr>
          <w:ilvl w:val="0"/>
          <w:numId w:val="3"/>
        </w:numPr>
        <w:spacing w:after="60"/>
      </w:pPr>
      <w:r>
        <w:t xml:space="preserve">Running memo: RESEARCH_MEMO.md § WS15; ledger: C:/dev/STUDIES_LEDGER.md row 2026-08-13</w:t>
      </w:r>
    </w:p>
    <w:p>
      <w:pPr>
        <w:pStyle w:val="Heading1"/>
      </w:pPr>
      <w:r>
        <w:t xml:space="preserve">10. Next phase</w:t>
      </w:r>
    </w:p>
    <w:p>
      <w:pPr>
        <w:pStyle w:val="ListParagraph"/>
        <w:numPr>
          <w:ilvl w:val="0"/>
          <w:numId w:val="3"/>
        </w:numPr>
        <w:spacing w:after="60"/>
      </w:pPr>
      <w:r>
        <w:t xml:space="preserve">Owner sign-off on the restatement package (section 7, rows 1–4); only then do data/, README or docs change.</w:t>
      </w:r>
    </w:p>
    <w:p>
      <w:pPr>
        <w:pStyle w:val="ListParagraph"/>
        <w:numPr>
          <w:ilvl w:val="0"/>
          <w:numId w:val="3"/>
        </w:numPr>
        <w:spacing w:after="60"/>
      </w:pPr>
      <w:r>
        <w:t xml:space="preserve">MNST decision before the Friday 2026-08-15 refresh (urgent-operational).</w:t>
      </w:r>
    </w:p>
    <w:p>
      <w:pPr>
        <w:pStyle w:val="ListParagraph"/>
        <w:numPr>
          <w:ilvl w:val="0"/>
          <w:numId w:val="3"/>
        </w:numPr>
        <w:spacing w:after="60"/>
      </w:pPr>
      <w:r>
        <w:t xml:space="preserve">Cross-panel residual follow-on: scope CSP1 + IUFS (the 2023 banks) and diagnose IUSP; BFB parser mapping is a one-line ticker_overrides fix wherever adopted.</w:t>
      </w:r>
    </w:p>
    <w:p>
      <w:pPr>
        <w:pStyle w:val="ListParagraph"/>
        <w:numPr>
          <w:ilvl w:val="0"/>
          <w:numId w:val="3"/>
        </w:numPr>
        <w:spacing w:after="60"/>
      </w:pPr>
      <w:r>
        <w:t xml:space="preserve">Held-window-aware _unpriced in backfill_delisted_prices — patch to be presented with the adoption decision, not applied unilaterally.</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(Fable 5), operator session 2026-08-13</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PENDING — Zhenghao (restatement package requires explicit sign-off)</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2026-08-13</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 sign-off decision; cross-panel follow-on when commissioned</w:t>
            </w:r>
          </w:p>
        </w:tc>
      </w:tr>
    </w:tbl>
    <w:p>
      <w:pPr>
        <w:spacing w:after="100" w:before="0"/>
      </w:pPr>
      <w:r>
        <w:t xml:space="preserve"/>
      </w:r>
    </w:p>
    <w:p>
      <w:pPr>
        <w:spacing w:after="120" w:before="0"/>
      </w:pPr>
      <w:r>
        <w:rPr>
          <w:i/>
          <w:iCs/>
          <w:color w:val="777777"/>
          <w:sz w:val="17"/>
          <w:szCs w:val="17"/>
        </w:rPr>
        <w:t xml:space="preserve">Internal research record for a personal project. Not investment advice, not a client communication, and not for distribution. All figures trace to the committed evidence JSONs named in the artefact register; the published surfaces named in section 7 remain unrestated until sign-off.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breadth-thrust-etf — WS15</w:t>
    </w:r>
    <w:r>
      <w:rPr>
        <w:color w:val="808080"/>
        <w:sz w:val="16"/>
        <w:szCs w:val="16"/>
      </w:rPr>
      <w:t xml:space="preserve">	Personal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7be73781831fc2f03382d488ff5e35485e4b36.png"/><Relationship Id="rId10" Type="http://schemas.openxmlformats.org/officeDocument/2006/relationships/image" Target="media/3beb809c47f52886ab77c0080d72402711286ea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2026-08-13T01:16:48.826Z</dcterms:created>
  <dcterms:modified xsi:type="dcterms:W3CDTF">2026-08-13T01:16:48.826Z</dcterms:modified>
</cp:coreProperties>
</file>

<file path=docProps/custom.xml><?xml version="1.0" encoding="utf-8"?>
<Properties xmlns="http://schemas.openxmlformats.org/officeDocument/2006/custom-properties" xmlns:vt="http://schemas.openxmlformats.org/officeDocument/2006/docPropsVTypes"/>
</file>