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Workstream 2 — universe: test appendix</w:t>
      </w:r>
    </w:p>
    <w:p>
      <w:pPr>
        <w:spacing w:after="40"/>
      </w:pPr>
      <w:r>
        <w:rPr>
          <w:color w:val="404040"/>
          <w:sz w:val="22"/>
          <w:szCs w:val="22"/>
        </w:rPr>
        <w:t xml:space="preserve">breadth-thrust-etf — detailed test designs, defences and full results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Thursday, 2 July 2026 — companion to reviews/2026-07-02_ws2_universe.docx</w:t>
      </w:r>
    </w:p>
    <w:p>
      <w:pPr>
        <w:spacing w:after="120"/>
      </w:pPr>
      <w:r>
        <w:t xml:space="preserve">This appendix details every test run in the Workstream 2 session: the question each test answers, the pre-registered design, the three ways each backtest could have been silently wrong and the defence coded against each, and the full result grids including sub-period Sharpe. Every number in this document is read programmatically from the committed data/ws2_*.json artefacts at build time — there is no manual transcription. Reproduction commands are listed in section 9.</w:t>
      </w:r>
    </w:p>
    <w:p>
      <w:pPr>
        <w:pStyle w:val="Heading1"/>
        <w:spacing w:after="120"/>
      </w:pPr>
      <w:r>
        <w:rPr>
          <w:b/>
          <w:bCs/>
        </w:rPr>
        <w:t xml:space="preserve">1. Harness and baselines</w:t>
      </w:r>
    </w:p>
    <w:p>
      <w:pPr>
        <w:spacing w:after="120"/>
      </w:pPr>
      <w:r>
        <w:t xml:space="preserve">All tests inherit the WS1 harness (scripts/ws1_common.py) unchanged: fixed evaluation window 2018-11-08 to 2026-06-16, split-half at 2022-09-08, deployed per-sleeve one-way costs (A 2 / B 2 / C 5 / D 9 bps) with a 2x stress on every variant, weekly Friday rebalancing, and the six-regime sub-period grid (the 2026 stub is reported but not counted). The cheap-reflex bar on every candidate: (i) train/test split with the ranking preserved out of sample; (ii) at least 4 of 6 sub-periods not worse than the comparator; (iii) survives 2x cost. The decision number is always the BLEND-level impact at 35/35/10/20.</w:t>
      </w:r>
    </w:p>
    <w:p>
      <w:pPr>
        <w:spacing w:after="120"/>
      </w:pPr>
      <w:r>
        <w:t xml:space="preserve">Deployed baselines were rebuilt at W=200 through the deployed engines and cached (scripts/ws2_common.py). Regression check against the WS1 harness: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6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Baseline (deployed formulation)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Sleeve Sharpe, fixed window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+0.73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+0.87</w:t>
            </w:r>
          </w:p>
        </w:tc>
      </w:tr>
    </w:tbl>
    <w:p>
      <w:pPr>
        <w:spacing w:after="120"/>
      </w:pPr>
      <w:r>
        <w:t xml:space="preserve">Ungated 35/35/10/20 blend Sharpe +1.196 — exact match to the WS1 surface at W=200 (+1.196). Any experiment below that fails this reproduction would have been invalid; none did.</w:t>
      </w:r>
    </w:p>
    <w:p>
      <w:pPr>
        <w:pStyle w:val="Heading1"/>
        <w:spacing w:after="120"/>
      </w:pPr>
      <w:r>
        <w:rPr>
          <w:b/>
          <w:bCs/>
        </w:rPr>
        <w:t xml:space="preserve">2. Test 1 — candidate panel and ticker verification</w:t>
      </w:r>
    </w:p>
    <w:p>
      <w:pPr>
        <w:spacing w:after="120"/>
      </w:pPr>
      <w:r>
        <w:t xml:space="preserve">Question: are the Workstream 2 candidate tickers real, correctly identified, USD total return, and alive? Sources: (1) yfinance metadata from the fetch; (2) data/ishares_catalogue.csv; (3) BlackRock product pages / aggregator pages for lines absent from the catalogue. Panel: 16 lines fetched from 2003-01-01, adjusted close (dividends folded in).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700"/>
        <w:gridCol w:w="4726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First data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Brazil ETF” = catalogue “iShares MSCI Brazil”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EWW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+ web: BlackRock/iShares product page 239670 'iShares MSCI Mexico ETF' (ER 0.50%)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South Korea ETF” = catalogue “iShares MSCI South Korea”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INDA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2012-02-03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India ETF” = catalogue “iShares MSCI India”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Taiwan ETF” = catalogue “iShares MSCI Taiwan”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Australia ETF” = catalogue “iShares MSCI Australia”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+ web: BlackRock/iShares product page 239678 'iShares MSCI Singapore ETF' (ER 0.50%)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Germany ETF” = catalogue “iShares MSCI Germany”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EWU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United Kingdom ETF” = catalogue “iShares MSCI United Kingdom”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EWJ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Japan ETF” = catalogue “iShares MSCI Japan”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frontier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2012-09-12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EXCLUDED — Multiple sources (etf.com, Yahoo profile, investing.com): 'iShares Frontier and Select EM ETF' — fund LIQUIDAT…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EEM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em_broad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2003-04-14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Emerging Markets ETF” = catalogue “iShares MSCI Emerging Markets”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IEMG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em_broad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2012-10-24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Core MSCI Emerging Markets ETF” = catalogue “iShares Core MSCI EM”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EFA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benchmark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MSCI EAFE ETF” = catalogue “iShares MSCI EAFE”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context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“State Street SPDR S&amp;P 500 ETF Trust” (deployed incumbent)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2003-01-02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yfinance “iShares 1-3 Year Treasury Bond ETF” (deployed incumbent)</w:t>
            </w:r>
          </w:p>
        </w:tc>
      </w:tr>
    </w:tbl>
    <w:p>
      <w:pPr>
        <w:spacing w:after="120"/>
      </w:pPr>
      <w:r>
        <w:t xml:space="preserve">FM detail: yfinance returned a stub issuer-level name (“iShares Inc.”), which triggered the web check; multiple sources confirm the iShares Frontier and Select EM ETF completed liquidation in January 2025 (last price in panel 2025-01-08, matching). A dead fund cannot be held through the evaluation window, and its 2023-24 tail reflects wind-down mechanics (Nigeria FX repatriation delays), not index tracking — EXCLUDED from the candidate universe. Survivorship note: the remaining candidates are all live funds today, so any backtest on this panel inherits a mild live-fund bias; this is recorded in the verification artefact.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3. Test 2 — correlation matrix and overlap control</w:t>
      </w:r>
    </w:p>
    <w:p>
      <w:pPr>
        <w:spacing w:after="120"/>
      </w:pPr>
      <w:r>
        <w:t xml:space="preserve">Question: where does the current blend hold the same exposure twice, and which candidates duplicate incumbents? Design: 72 lines — Sleeve A trading proxies, all of B, C via the deployed loader (CNY FX and expense drags applied), D converted EUR→USD with the deployed FX series, plus country/EM and commodity candidates — weekly Friday returns, 397 observations full window and 52 trailing-year, pairwise minimum 52 (full) / 40 (1y) observations.</w:t>
      </w:r>
    </w:p>
    <w:p>
      <w:pPr>
        <w:spacing w:after="120"/>
      </w:pPr>
      <w:r>
        <w:rPr>
          <w:b/>
          <w:bCs/>
        </w:rPr>
        <w:t xml:space="preserve">Three silent-failure modes and defences: </w:t>
      </w:r>
      <w:r>
        <w:t xml:space="preserve">(1) FX mismatch — raw EUR series against USD would manufacture fake decorrelation; D is converted with the deployed converter series. (2) Asynchronous closes — European/Asian closes print hours before New York and depress daily correlation; weekly returns absorb most of it (residual noted in the artefact). (3) Short or stale overlap — late-inception names would show noise correlations on few points; pairwise minimums enforce coverage and the one dead candidate was excluded outright.</w:t>
      </w:r>
    </w:p>
    <w:p>
      <w:pPr>
        <w:spacing w:after="120"/>
      </w:pPr>
      <w:r>
        <w:rPr>
          <w:b/>
          <w:bCs/>
        </w:rPr>
        <w:t xml:space="preserve">Adopted rule: </w:t>
      </w:r>
      <w:r>
        <w:t xml:space="preserve">cluster at pairwise weekly corr &gt;= 0.8 (full window, connected components); keep most liquid per cluster; reject candidates &gt; 0.9 vs an incumbent unless distinct exposure argued in writing.</w:t>
      </w:r>
    </w:p>
    <w:p>
      <w:pPr>
        <w:pStyle w:val="Heading2"/>
        <w:spacing w:after="120"/>
      </w:pPr>
      <w:r>
        <w:rPr>
          <w:b/>
          <w:bCs/>
        </w:rPr>
        <w:t xml:space="preserve">3.1 All pairs above 0.90 (full window)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600"/>
        <w:gridCol w:w="1600"/>
        <w:gridCol w:w="34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Pair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Corr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Roles (a)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Roles (b)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EEM / IEMG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0.998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B, cand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 auto-reject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XLRE / VNQ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0.990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A(proxy of IUSP)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cross-sleeve or within-B — see verdicts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EFA / VGK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0.984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B, cand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cross-sleeve or within-B — see verdicts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VGK / EWG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0.966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 auto-reject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DBC / GSG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0.958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B, comm(base)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commodity candidate vs incumbent/each other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XLI / PAVE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0.954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A(proxy of IUIS)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cross-sleeve or within-B — see verdicts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DBE / GSG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0.948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commodity candidate vs incumbent/each other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EFA / EWG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0.946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B, cand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 auto-reject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VGK / EWU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0.943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 auto-reject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DBC / DBE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0.939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B, comm(base)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commodity candidate vs incumbent/each other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SPY / QQQ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A(proxy of CSP1), 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A(proxy of CNDX), B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cross-sleeve or within-B — see verdicts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EFA / EWU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B, cand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candidate auto-reject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ICLN / TAN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within-C — prune tested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IJR / PAVE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0.924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A(proxy of IDP6), 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cross-sleeve or within-B — see verdicts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TLT / IEF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0.918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cross-sleeve or within-B — see verdicts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GSG / USO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0.910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commodity candidate vs incumbent/each other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SPY / XLY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A(proxy of CSP1), 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A(proxy of IUCD)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cross-sleeve or within-B — see verdicts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CIBR / SKYY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within-C — prune tested</w:t>
            </w:r>
          </w:p>
        </w:tc>
      </w:tr>
    </w:tbl>
    <w:p>
      <w:pPr>
        <w:pStyle w:val="Heading2"/>
        <w:spacing w:after="120"/>
      </w:pPr>
      <w:r>
        <w:rPr>
          <w:b/>
          <w:bCs/>
        </w:rPr>
        <w:t xml:space="preserve">3.2 Clusters at 0.80 and the keep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Cluster members (liquidity-ranked; tiers approximate, catalogue vintage 2026-05)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EFA</w:t>
            </w:r>
          </w:p>
        </w:tc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EFA, IEMG, EEM, IJR, SPY, QQQ, VGK, VNQ, ITA, XLI, XLB, XLF, XLC, XLY, SOXX, EWJ, EWT, EWY, PAVE, CIBR, ARKK, XBI, XLRE, BOTZ, EWU, EWG, EWA, PHO, SKYY, ARKG, JETS, EXV3, WOOD, MOO, EWS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DBC</w:t>
            </w:r>
          </w:p>
        </w:tc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DBC, USO, GSG, DBE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SHY</w:t>
            </w:r>
          </w:p>
        </w:tc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SHY, TLT, IEF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XLV</w:t>
            </w:r>
          </w:p>
        </w:tc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XLV, IHI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GLD</w:t>
            </w:r>
          </w:p>
        </w:tc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GLD, GDX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ICLN</w:t>
            </w:r>
          </w:p>
        </w:tc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ICLN, TAN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LIT</w:t>
            </w:r>
          </w:p>
        </w:tc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LIT, REMX</w:t>
            </w:r>
          </w:p>
        </w:tc>
      </w:tr>
    </w:tbl>
    <w:p>
      <w:pPr>
        <w:spacing w:after="120"/>
      </w:pPr>
      <w:r>
        <w:t xml:space="preserve">The 28-member US-beta cluster is the structural fact of the blend: most DM country candidates (EWT, EWY, EWU, EWG, EWA, EWS) sit INSIDE it, which is independent evidence that a DM-heavy country sleeve would re-buy existing beta.</w:t>
      </w:r>
    </w:p>
    <w:p>
      <w:pPr>
        <w:pStyle w:val="Heading2"/>
        <w:spacing w:after="120"/>
      </w:pPr>
      <w:r>
        <w:rPr>
          <w:b/>
          <w:bCs/>
        </w:rPr>
        <w:t xml:space="preserve">3.3 Candidate flags and blend look-through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Candidate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Incumbent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Corr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VGK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0.966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EWU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VGK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0.943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IEMG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EEM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0.998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DBE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DBC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0.939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GSG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DBC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0.958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Blend look-through (ungated)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Mean weight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Max weight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Held by A and B jointly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4.0%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43% of weeks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QQQ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24.1%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43% of weeks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IJR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13.7%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3% of weeks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US-beta cluster (28 blend lines)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46.8%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83.5%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  <w:r>
        <w:t xml:space="preserve">Trailing-year pairs that are NOT in the full-window list (context only): DBE/USO 0.946, EEM/EWT 0.908, EWT/IEMG 0.908, EEM/EWY 0.906, EWY/IEMG 0.902, IEF/SHY 0.901. Taiwan and Korea have converged onto broad EM — the recent EM trade is a semiconductor trade.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4914900"/>
            <wp:effectExtent t="0" r="0" b="0" l="0"/>
            <wp:docPr id="1" name="ws2_correlation.png" descr="Figure 1 — weekly-return correlation matrix, full fixed window. Full numeric matrix: data/ws2_correlation.json (corr_full)." title="Figure 1 — weekly-return correlation matrix, full fixed window. Full numeric matrix: data/ws2_correlation.json (corr_ful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95959"/>
          <w:sz w:val="16"/>
          <w:szCs w:val="16"/>
        </w:rPr>
        <w:t xml:space="preserve">Figure 1 — weekly-return correlation matrix, full fixed window. Full numeric matrix: data/ws2_correlation.json (corr_full).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4. Test 3 — pre-registered within-sleeve prunes</w:t>
      </w:r>
    </w:p>
    <w:p>
      <w:pPr>
        <w:spacing w:after="120"/>
      </w:pPr>
      <w:r>
        <w:t xml:space="preserve">Question: do the within-sleeve &gt;0.9 pairs justify removing incumbents, per the IUIT/CNDX precedent? Exactly two bundles were pre-registered from correlation evidence alone; no other combinations were run. Defences: deployed engines only (look-ahead); column drops cannot change the calendar (window); pruning mechanically reduces turnover so costs cannot flatter the variant. Note: dropping C names changes the Phase 27 gate denominator to 22 — the mechanical consequence, not a re-tune.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200"/>
        <w:gridCol w:w="1100"/>
        <w:gridCol w:w="1100"/>
        <w:gridCol w:w="1100"/>
        <w:gridCol w:w="1426"/>
      </w:tblGrid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2x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Train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Max DD / turn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Deployed B (baseline)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+1.01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-13.3% / —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P1: B drop VGK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+0.98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-13.2% / 12.1x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Deployed C (baseline)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+0.67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-36.1% / —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P2: C drop TAN,SKYY,PAVE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+0.68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-40.7% / 18.7x</w:t>
            </w:r>
          </w:p>
        </w:tc>
      </w:tr>
    </w:tbl>
    <w:p>
      <w:pPr>
        <w:spacing w:after="120"/>
      </w:pPr>
      <w:r>
        <w:t xml:space="preserve">Sub-period Sharpe (pruned sleeve vs its deployed baseline):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6"/>
        <w:gridCol w:w="1606"/>
        <w:gridCol w:w="1606"/>
        <w:gridCol w:w="160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Regime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 deployed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P1 B−VGK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 deployed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P2 C−3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2019 pre-Covid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+1.79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-0.17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2020 Covid recovery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+0.93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+0.99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+1.60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+1.55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2021 rally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+1.66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+0.55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2022 inflation shock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-0.61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-0.64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-0.94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-1.30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 AI rally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+0.98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+0.90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-0.43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-0.56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2024-25 recent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+1.12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+1.08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+1.13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+1.08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 YTD (stub, not counted)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+1.30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+1.37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+0.89</w:t>
            </w:r>
          </w:p>
        </w:tc>
      </w:tr>
    </w:tbl>
    <w:p>
      <w:pPr>
        <w:spacing w:after="120"/>
      </w:pPr>
      <w:r>
        <w:t xml:space="preserve">Blend-level deltas: P1 +0.004 full / -0.003 test, consistency 3/6; P2 -0.021 full / +0.001 test, consistency 1/6. VERDICTS: P1 REJECT (a wash — a deployed-config change on a wash loses to the incumbent); P2 REJECT (actively harmful — the dropped names carried the train half). Corollary: correlation redundancy alone is not sufficient grounds to remove an incumbent, mirroring the Phase 16 SLV lesson in the other direction.</w:t>
      </w:r>
    </w:p>
    <w:p>
      <w:pPr>
        <w:pStyle w:val="Heading1"/>
        <w:spacing w:after="120"/>
      </w:pPr>
      <w:r>
        <w:rPr>
          <w:b/>
          <w:bCs/>
        </w:rPr>
        <w:t xml:space="preserve">5. Test 4 — country momentum sleeve</w:t>
      </w:r>
    </w:p>
    <w:p>
      <w:pPr>
        <w:spacing w:after="120"/>
      </w:pPr>
      <w:r>
        <w:t xml:space="preserve">Question: does a top-K country price-momentum basket beat holding EEM+EFA net of cost (the review prompt's bar)? Pre-registered design: the deployed B formulation — graded (close−MA200)/MA200, top-K by signal share among positive names, SHY deficit floor (this IS the own-200d risk gate; no separate vol gate, zero new knobs after WS1 killed vol-normalisation) — on U10 = EWZ EWW EWY INDA EWT EWA EWS EWG EWU EWJ; headline K=3 (Idea 3 / Phase 23 precedent); 5 bps one-way on ALL turnover including cash legs (conservative); U11 (+EEM) and K∈{2,4} reported, not selected. Benchmark: 50/50 EEM+EFA weekly-rebalanced at 2 bps, evaluated on the identical calendar.</w:t>
      </w:r>
    </w:p>
    <w:p>
      <w:pPr>
        <w:spacing w:after="120"/>
      </w:pPr>
      <w:r>
        <w:rPr>
          <w:b/>
          <w:bCs/>
        </w:rPr>
        <w:t xml:space="preserve">Three silent-failure modes and defences: </w:t>
      </w:r>
      <w:r>
        <w:t xml:space="preserve">(1) look-ahead — deployed engine, prior-day signal row, weights shifted one day; (2) window inconsistency — one fixed window for every variant AND the benchmark, panel warm since 2003 (asserted ≥9 of 10 signals valid at the first rebalance); (3) cost/TR realism — uniform 5 bps including cash legs overstates cost, 2x stress, adjusted closes carry dividends, benchmark pays its own rebalancing cost.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50"/>
        <w:gridCol w:w="1050"/>
        <w:gridCol w:w="1050"/>
        <w:gridCol w:w="1050"/>
        <w:gridCol w:w="1000"/>
        <w:gridCol w:w="8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Full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2x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Train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Max DD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Turn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50/50 EEM+EFA benchmark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+0.60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+0.18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-33.8%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EEM buy-and-hold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+0.54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+0.16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-39.8%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EFA buy-and-hold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+0.20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-33.9%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U10 K=2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+0.74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+0.70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+0.03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+1.30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-38.6%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19.8x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U10 K=3 (headline)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+0.70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+0.65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-0.04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-35.3%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17.3x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U10 K=4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+0.66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-0.09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-31.4%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17.2x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U11+EEM K=2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+0.70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+0.66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-0.03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-38.6%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20.3x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U11+EEM K=3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+0.66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-0.10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-35.3%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18.3x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U11+EEM K=4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+0.64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+0.59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-0.09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-31.4%</w:t>
            </w:r>
          </w:p>
        </w:tc>
        <w:tc>
          <w:tcPr>
            <w:tcW w:type="dxa" w:w="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17.9x</w:t>
            </w:r>
          </w:p>
        </w:tc>
      </w:tr>
    </w:tbl>
    <w:p>
      <w:pPr>
        <w:spacing w:after="120"/>
      </w:pPr>
      <w:r>
        <w:t xml:space="preserve">Sub-period Sharpe, headline vs benchmark: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Regime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Benchmark 50/50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U10 K=3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2019 pre-Covid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+1.21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2020 Covid recovery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+0.60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+1.11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2021 rally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+0.29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+0.32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2022 inflation shock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-0.79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-2.08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 AI rally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+0.95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2024-25 recent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+1.25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 YTD (stub, not counted)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+1.52</w:t>
            </w:r>
          </w:p>
        </w:tc>
        <w:tc>
          <w:tcPr>
            <w:tcW w:type="dxa" w:w="32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+2.62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Decision bar (pre-registered)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Full-window Sharpe ≥ benchmark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Test-half Sharpe ≥ benchmark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≥4 of 6 sub-periods ≥ benchmark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 — 3/6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2x cost ≥ benchmark full-window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Overall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KILL — no blend variant run</w:t>
            </w:r>
          </w:p>
        </w:tc>
      </w:tr>
    </w:tbl>
    <w:p>
      <w:pPr>
        <w:spacing w:after="120"/>
      </w:pPr>
      <w:r>
        <w:t xml:space="preserve">Long-window context (2004 start, same configuration) reconciling with the Idea 3 rejection: 2004-2010: sleeve +0.91 vs benchmark +0.50; 2011-2013: sleeve +0.08 vs benchmark +0.23; 2014-2021: sleeve +0.25 vs benchmark +0.37; 2022-now: sleeve +0.74 vs benchmark +0.61. The sleeve wins only in EM-favoured regimes — a regime bet the Phase 22 overlay already expresses at 10% of NAV with 11 switches. Drawdown detail (U10 K=3): worst rolling 12m -31.2%, longest underwater 1114 trading days, 2022 drawdown -33.8% — worse than the benchmark on every one.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6. Test 5 — commodity-spot expansion on the fixed window</w:t>
      </w:r>
    </w:p>
    <w:p>
      <w:pPr>
        <w:spacing w:after="120"/>
      </w:pPr>
      <w:r>
        <w:t xml:space="preserve">Question: does the in-flight thread's proposal (B + DBA/DBB/DBE; C + DBC/DBA/DBB/DBE at 10 bps) survive the WS1 harness standard? Method review of the original run (2026-07-01): engine faithful (validated to 1e-9 against the deployed engine, RE-ASSERTED on the fixed window this session), roll cost correctly inside the ETF NAV; but the inner-join dropna() truncated the C comparison to 2020-11, the headline was MAR on its own windows, and there was no split, sub-period grid or blend view. Its own evidence was already uniformly negative: dMAR negative at every start year 2008-2023 and negative even at ZERO add-cost. Fixed-window re-run (end 2026-06-12, commodity cache bound; baseline re-sliced to the identical end):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50"/>
        <w:gridCol w:w="1050"/>
        <w:gridCol w:w="1050"/>
        <w:gridCol w:w="1050"/>
        <w:gridCol w:w="1426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Full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2x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Train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Max DD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Deployed B (this window)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+1.00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+1.00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-13.3%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 + DBA/DBB/DBE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+0.87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+1.15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+0.66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-16.2%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Deployed C (this window)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+0.73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+0.79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+0.67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-36.1%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 + DBC/DBA/DBB/DBE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+0.72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+0.67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+0.89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+0.53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-46.7%</w:t>
            </w:r>
          </w:p>
        </w:tc>
      </w:tr>
    </w:tbl>
    <w:p>
      <w:pPr>
        <w:spacing w:after="120"/>
      </w:pPr>
      <w:r>
        <w:t xml:space="preserve">Sub-period Sharpe, widened vs deployed: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6"/>
        <w:gridCol w:w="1606"/>
        <w:gridCol w:w="1606"/>
        <w:gridCol w:w="160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Regime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 deployed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 widened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 deployed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 widened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2019 pre-Covid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+1.63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+0.03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2020 Covid recovery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+0.93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+1.01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+1.60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+2.82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2021 rally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+1.42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2022 inflation shock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-0.61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+0.50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-0.94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-0.96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 AI rally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+0.98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+0.62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-0.43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-1.37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2024-25 recent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+1.12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+0.75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+1.13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 YTD (stub, not counted)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+1.26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+1.16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+0.58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+0.74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500"/>
        <w:gridCol w:w="2626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Blend variant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dFull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dTest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Consistency vs baseline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 widened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-0.007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-0.095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3/6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 widened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+0.005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-0.016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3/6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 widened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-0.008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-0.124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2/6</w:t>
            </w:r>
          </w:p>
        </w:tc>
      </w:tr>
    </w:tbl>
    <w:p>
      <w:pPr>
        <w:spacing w:after="120"/>
      </w:pPr>
      <w:r>
        <w:t xml:space="preserve">VERDICT: KILL at sleeve and blend level. The widened B's improvement is train-half-only (+1.15 train vs +0.66 test) — a backward-looking bet on the 2021-22 commodity bull, the exact in-sample-only pattern the cheap reflex screens for. The correlation matrix independently shows the adds are mostly duplicate beta (DBE/GSG 0.94-0.96 to incumbent DBC) with wider spreads. GLD + DBC remain Sleeve B's commodity expression.</w:t>
      </w:r>
    </w:p>
    <w:p>
      <w:pPr>
        <w:pStyle w:val="Heading1"/>
        <w:spacing w:after="120"/>
      </w:pPr>
      <w:r>
        <w:rPr>
          <w:b/>
          <w:bCs/>
        </w:rPr>
        <w:t xml:space="preserve">7. Test 6 — EEM coherence (2x2 ablation)</w:t>
      </w:r>
    </w:p>
    <w:p>
      <w:pPr>
        <w:spacing w:after="120"/>
      </w:pPr>
      <w:r>
        <w:t xml:space="preserve">Question: EEM sits in Sleeve B AND in the Phase 22 overlay — which single role should it have? Design: 2x2 ablation on the fixed window, ungated decision numbers; the Phase 22 tilt reimplemented faithfully (EEM/SPY 50/200 golden cross, 10pp funded from B, 5 bps per flip, state shifted one day); B re-run without EEM through the deployed engine (2 bps + 2x). The Phase 19 gate applied afterwards as context — the gate reimplementation VALIDATED by reproducing the committed gated Sharpe (+1.286 vs +1.287). The third prompt option (decompose EM into a country sleeve) was killed in Test 4, so no fifth cell exists.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950"/>
        <w:gridCol w:w="950"/>
        <w:gridCol w:w="950"/>
        <w:gridCol w:w="1000"/>
        <w:gridCol w:w="1000"/>
        <w:gridCol w:w="950"/>
      </w:tblGrid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Cell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Full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Train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Max DD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Gated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V0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V0 status quo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+1.202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+0.920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+1.540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-23.6%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+1.279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6/6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V1 overlay-only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+1.210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+0.933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+1.544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-23.6%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+1.289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5/6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V2 B-member-only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+1.201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+0.947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+1.509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-23.6%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+1.286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4/6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V3 neither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+1.207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+0.964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+1.506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-23.6%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+1.295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3/6</w:t>
            </w:r>
          </w:p>
        </w:tc>
      </w:tr>
    </w:tbl>
    <w:p>
      <w:pPr>
        <w:spacing w:after="120"/>
      </w:pPr>
      <w:r>
        <w:t xml:space="preserve">Sub-period Sharpe per cell: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6"/>
        <w:gridCol w:w="1606"/>
        <w:gridCol w:w="1606"/>
        <w:gridCol w:w="160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Regime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V0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V1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2019 pre-Covid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+2.05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+2.14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+2.17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+2.27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2020 Covid recovery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+1.03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+1.03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+1.02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2021 rally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+1.36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+1.38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+1.42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+1.45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2022 inflation shock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-0.10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-0.10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-0.10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-0.10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 AI rally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+0.88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+0.88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+0.93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2024-25 recent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+1.71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+1.72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+1.66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+1.67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 YTD (stub, not counted)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+2.39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+2.37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+2.32</w:t>
            </w:r>
          </w:p>
        </w:tc>
        <w:tc>
          <w:tcPr>
            <w:tcW w:type="dxa" w:w="1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+2.28</w:t>
            </w:r>
          </w:p>
        </w:tc>
      </w:tr>
    </w:tbl>
    <w:p>
      <w:pPr>
        <w:spacing w:after="120"/>
      </w:pPr>
      <w:r>
        <w:t xml:space="preserve">Sleeve B without EEM (deployed engine): full +1.02 (2x +1.00), train +1.07, test +0.98, max DD -13.2% — B does not need EEM (deployed B +1.01).</w:t>
      </w:r>
    </w:p>
    <w:p>
      <w:pPr>
        <w:spacing w:after="120"/>
      </w:pPr>
      <w:r>
        <w:t xml:space="preserve">Double-count quantification under V0: mean look-through EEM 4.5% of NAV, peak 15.0%; tilt ON 29% of days; B held EEM on 45% of days; BOTH held it simultaneously on 26% of days; 11 tilt switches ever.</w:t>
      </w:r>
    </w:p>
    <w:p>
      <w:pPr>
        <w:spacing w:after="120"/>
      </w:pPr>
      <w:r>
        <w:t xml:space="preserve">DECISION: adopt V1 (overlay-only). All four cells sit within 0.009 full-window Sharpe — inside noise — so the choice is architectural: V1 ends the double-count, is weakly dominant ungated (best full and test, 5/6 consistency vs V0), leaves B no worse, and preserves the Phase 22 EM-turn expression whose walk-forward validation is on file. Choosing V3 on its +0.006 gated edge would be sequential tuning on noise. The tilt's own keep/kill (11 switches — few distinct bets) is reserved for the Workstream 3 overlay audit.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8. Trend map and factor check</w:t>
      </w:r>
    </w:p>
    <w:p>
      <w:pPr>
        <w:spacing w:after="120"/>
      </w:pPr>
      <w:r>
        <w:t xml:space="preserve">The factor-gap claim was computed, not assumed: weekly correlation to SPY on the fixed window — QUAL +0.985 (auto-reject under the &gt;0.9 rule), USMV +0.896, MTUM +0.889, VLUE +0.892 (ON the flag boundary). A factor sleeve is therefore marginal by construction and would add a factor-timing degree of freedom with a weak prior; deferred behind a written distinct-exposure bar. Remaining gaps: frontier (uninvestable, FM dead), non-US rates (no clean USD-listed vehicle set; low priority), ex-US DM sectors beyond D's five (point-in-time constituent cost; deferred), credit (deliberate, HYG removal documented).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ws2_trend_map.png" descr="Figure 2 — trend-opportunity map with per-bucket verdicts and artefact basis." title="Figure 2 — trend-opportunity map with per-bucket verdicts and artefact bas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95959"/>
          <w:sz w:val="16"/>
          <w:szCs w:val="16"/>
        </w:rPr>
        <w:t xml:space="preserve">Figure 2 — trend-opportunity map with per-bucket verdicts and artefact basis.</w:t>
      </w:r>
    </w:p>
    <w:p>
      <w:pPr>
        <w:pStyle w:val="Heading1"/>
        <w:spacing w:after="120"/>
      </w:pPr>
      <w:r>
        <w:rPr>
          <w:b/>
          <w:bCs/>
        </w:rPr>
        <w:t xml:space="preserve">9. Trial register detail and reproduction</w:t>
      </w:r>
    </w:p>
    <w:p>
      <w:pPr>
        <w:spacing w:after="120"/>
      </w:pPr>
      <w:r>
        <w:t xml:space="preserve">Counting convention (as WS1): each evaluated configuration counts once; 2x cost is a stress report of the same configuration; benchmarks count; correlation/look-through/trend-map are descriptive (zero trials); diagnostic sub-baskets used only to measure correlation between two sub-portfolios are excluded by convention.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4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Configurations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Country sleeve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U10 K2/K3/K4; U11 K2/K3/K4; 50/50 EEM+EFA benchmark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Commodity re-run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 widened; C widened; blend B / C / both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Commodity thread (retro-logged, 2026-07-01)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B widened; C widened; 7 narrow-B subsets (DBE; DBB; DBA; DBE+DBB; DBA+DBB+DBE; +GSG; +USO+UNG); 2 diversification sub-sleeves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Prunes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P1 sleeve + blend; P2 sleeve + blend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EEM coherence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V0-V3 blend cells; B without EEM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Session total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Cumulative (WS1 ~139 + WS2 32)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~171</w:t>
            </w:r>
          </w:p>
        </w:tc>
      </w:tr>
    </w:tbl>
    <w:p>
      <w:pPr>
        <w:spacing w:after="120"/>
      </w:pPr>
      <w:r>
        <w:t xml:space="preserve">Reproduction (from the repository root; the fetch needs network, everything else runs offline from committed caches):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scripts/run_ws2_fetch_panel.py — candidate panel + verification 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scripts/ws2_common.py — baseline cache (add --force to rebuild); asserts blend +1.196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scripts/run_ws2_correlation.py — matrix, clusters, look-through, Figure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scripts/run_ws2_country_sleeve.py — Test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scripts/run_ws2_commodity_fixed.py — Test 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scripts/run_ws2_prune_tests.py — Test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scripts/run_ws2_eem_coherence.py — Test 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scripts/run_ws2_trend_map.py — Figure 2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737373"/>
          <w:sz w:val="16"/>
          <w:szCs w:val="16"/>
        </w:rPr>
        <w:t xml:space="preserve">Personal research artefact. All performance figures are simulated backtests in USD, net of stated costs; nothing in this document is investment advice.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Arial" w:cs="Arial" w:eastAsia="Arial" w:hAnsi="Arial"/>
      <w:b/>
      <w:bCs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cf8266b24cf98fd02414bb8688dbeb0f5e21dc.png"/><Relationship Id="rId8" Type="http://schemas.openxmlformats.org/officeDocument/2006/relationships/image" Target="media/f8172d8108ff74c4d3bf170c40c261b34da13cc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2026-07-02T05:42:30.987Z</dcterms:created>
  <dcterms:modified xsi:type="dcterms:W3CDTF">2026-07-02T05:42:30.988Z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