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Strategy review record</w:t>
      </w:r>
    </w:p>
    <w:p>
      <w:pPr>
        <w:spacing w:after="60"/>
      </w:pPr>
      <w:r>
        <w:rPr>
          <w:sz w:val="24"/>
          <w:szCs w:val="24"/>
        </w:rPr>
        <w:t xml:space="preserve">breadth-thrust-etf — Workstream 0 (orientation) and Workstream 1 (moving-average robustness)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Thursday, 2 July 2026</w:t>
      </w:r>
    </w:p>
    <w:p>
      <w:pPr>
        <w:pBdr>
          <w:bottom w:val="single" w:color="1F3864" w:sz="8" w:space="1"/>
        </w:pBd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breadth-thrust-etf (personal research artefact; all returns simulated)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 scope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 REVIEW_PROMPT.md: Workstream 0 (code-verified signal map) and Workstream 1 (MA robustness, vol-normalisation, threshold surfaces)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Evaluation window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2018-11-08 to 2026-06-16; split-half at 2022-09-08; walk-forward OOS 2022-01-03 to 2026-06-16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 basis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Committed parquet caches through 2026-06-16 (EU) / 2026-07-01 (US); weekly refresh of 2026-07-02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Method basis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Deployed engines imported unchanged; fixed common window; deployed per-sleeve costs (A 2 / B 2 / C 5 / D 9 bps) plus 2x stress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Repository commits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d98903b, 5d5f151, dc1b332, 893e7b5 (branch main)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Running memo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RESEARCH_MEMO.md (repository root)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Outcome</w:t>
            </w:r>
          </w:p>
        </w:tc>
        <w:tc>
          <w:tcPr>
            <w:tcW w:type="dxa" w:w="6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REVIEWED — no changes to deployed parameters; one flagged trade-off carried to Workstream 3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deployed single-horizon 200d formulation (binary constituent breadth for sleeves A and D, raw MA-distance momentum for B and C) survives an adversarial calibration review without a single economically meaningful out-of-sample improvement appearing across roughly 120 evaluated configurations.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lookback surface is a one-sided plateau: fast lookbacks (25-150d) are uniformly worse; 200-325d is flat (blend spread 0.06 Sharpe against a Sharpe standard error of about 0.4). The 2022 inflation shock is the discriminating regime.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Walk-forward horizon re-selection LOSES to the fixed deployed value: annually re-fitting the common lookback earns +1.170 OOS versus +1.183 for never touching 200d; per-sleeve re-fitting is worse (+1.107). The hindsight optimum (275d, +1.227) is not capturable by any process restricted to information available at the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vol-normalised and multi-horizon ensemble variant fails the cheap-reflex OOS bar; applied to all four sleeves the preferred formulation drops the blend Sharpe from +1.20 to +0.89. Vol-targeted sleeve sizing also fails; the slope gate on B passes formally but its effect (+0.006 blend) is negligible and is not deployed.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Phase 19 regime gate thresholds sit on a genuine plateau: all 25 hysteresis pairs land Sharpe +1.22 to +1.33 versus +1.20 ungated, every pair better on both Sharpe and drawdown. The long-standing in-sample-tuning caveat is materially defused. Keep 20%/50%.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candidate is carried to the Workstream 3 heavy gate: removing Sleeve C's +5% signal floor (OOS test Sharpe +0.83 vs +0.69, one knob fewer, lower turnover — but max drawdown -48% vs -36%, concentrated in the 2022 grind). Flagged as a stated trade-off, not a change.</w:t>
      </w:r>
    </w:p>
    <w:p>
      <w:pPr>
        <w:pStyle w:val="Heading1"/>
      </w:pPr>
      <w:r>
        <w:t xml:space="preserve">2. Workstream 0 — verified architecture and drift</w:t>
      </w:r>
    </w:p>
    <w:p>
      <w:pPr>
        <w:spacing w:after="120"/>
      </w:pPr>
      <w:r>
        <w:t xml:space="preserve">The deployed system was mapped from code, not documentation. Key corrections to the prior written record (README stops at Phase 24; code is at Phase 28.7):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Sleeves A and D select on 200d constituent breadth, not 50d; the 50d breadth series drives only the Phase 19 regime gate. The architecture deliberately runs two horizons: slow selection, fast de-risking.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 A ranks sector-RELATIVE breadth (cross-sectional demean); Sleeve D ranks ABSOLUTE breadth.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 C runs K=5 equal-weight (Phase 27) on 25 thematics with a +5% signal floor and a 30% sleeve-breadth gate; the README's K=4 on 23 names is stale.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 A's tradeable universe is 13 lines (IUIT pruned for 0.97 correlation with CNDX) and includes broad-cap and small-cap slices alongside sectors.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pre-existing robustness harness covers the legacy single-ETF 50/150 strategy; no parameter surface existed for the deployed top-K sleeves before this review.</w:t>
      </w:r>
    </w:p>
    <w:p>
      <w:pPr>
        <w:spacing w:after="120"/>
      </w:pPr>
      <w:r>
        <w:t xml:space="preserve">Deployed headline (committed track, 2018-11-08 to 2026-06-18): ungated 35/35/10/20 blend Sharpe +1.20 (CAGR +15.8%, max DD -23.8%); with Phase 19 gate +1.29 (-16.4%); with the Phase 22 EEM tilt +1.29 (-16.3%). The EEM tilt has had 11 switches ever (29% of days ON) — its bet-count audit is a Workstream 3 item.</w:t>
      </w:r>
    </w:p>
    <w:p>
      <w:pPr>
        <w:pStyle w:val="Heading1"/>
      </w:pPr>
      <w:r>
        <w:t xml:space="preserve">3. Workstream 1 findings</w:t>
      </w:r>
    </w:p>
    <w:p>
      <w:pPr>
        <w:pStyle w:val="Heading2"/>
      </w:pPr>
      <w:r>
        <w:t xml:space="preserve">3.1 Lookback parameter surface (13 points, 25d steps)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6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</w:trP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Sharpe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75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125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150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175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225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250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275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325</w:t>
            </w:r>
          </w:p>
        </w:tc>
      </w:tr>
      <w:t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blend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+1.06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+1.22</w:t>
            </w:r>
          </w:p>
        </w:tc>
      </w:tr>
      <w:t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+1.03</w:t>
            </w:r>
          </w:p>
        </w:tc>
      </w:tr>
      <w:t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+0.88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+1.01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+1.04</w:t>
            </w:r>
          </w:p>
        </w:tc>
      </w:tr>
      <w:t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+0.73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+0.75</w:t>
            </w:r>
          </w:p>
        </w:tc>
      </w:tr>
      <w:tr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+0.55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+0.74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+0.87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+0.80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+0.89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+0.82</w:t>
            </w:r>
          </w:p>
        </w:tc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+0.84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276600"/>
            <wp:effectExtent t="0" r="0" b="0" l="0"/>
            <wp:docPr id="1" name="ws1_ma_surface.png" descr="Sharpe versus MA lookback per sleeve and blend with train/test overlay, plateau band, deployed marker and heatmap" title="Sharpe versus MA lookback per sleeve and blend with train/test overlay, plateau band, deployed marker and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1 — Sharpe vs lookback per sleeve and blend; full/train/test lines, plateau band (within 0.05 of peak), deployed 200d marked. Both halves prefer slow lookbacks; train/test rank correlation: blend +0.88, B +0.88, A +0.67, D +0.67, C -0.41 (noise).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Fast lookbacks fail in the 2022 inflation shock (blend sub-period Sharpe -0.51 to -0.84 at 50-150d versus -0.03 to -0.11 at 200-300d).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2x costs move full-window Sharpe by 0.03 or less at weekly cadence for lookbacks of 150d and above; slow is also the low-turnover direction.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 C's horizon preference is statistically noise (rank correlation flips sign on the denser grid); C stays on the common horizon by parsimony.</w:t>
      </w:r>
    </w:p>
    <w:p>
      <w:pPr>
        <w:pStyle w:val="Heading2"/>
      </w:pPr>
      <w:r>
        <w:t xml:space="preserve">3.2 Drawdown surface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6"/>
        <w:gridCol w:w="990"/>
        <w:gridCol w:w="990"/>
        <w:gridCol w:w="990"/>
        <w:gridCol w:w="990"/>
        <w:gridCol w:w="990"/>
        <w:gridCol w:w="990"/>
      </w:tblGrid>
      <w:tr>
        <w:trPr>
          <w:tblHeader/>
        </w:trPr>
        <w:tc>
          <w:tcPr>
            <w:tcW w:type="dxa" w:w="3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Blend metric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W=50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W=100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W=150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W=200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W=250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W=300</w:t>
            </w:r>
          </w:p>
        </w:tc>
      </w:tr>
      <w:tr>
        <w:tc>
          <w:tcPr>
            <w:tcW w:type="dxa" w:w="3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-22.5%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-23.0%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-24.3%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-23.8%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-23.8%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-24.3%</w:t>
            </w:r>
          </w:p>
        </w:tc>
      </w:tr>
      <w:tr>
        <w:tc>
          <w:tcPr>
            <w:tcW w:type="dxa" w:w="3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Worst rolling 12m return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-14.8%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-16.6%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-13.0%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-11.9%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-10.1%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-10.0%</w:t>
            </w:r>
          </w:p>
        </w:tc>
      </w:tr>
      <w:tr>
        <w:tc>
          <w:tcPr>
            <w:tcW w:type="dxa" w:w="3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Drawdown within 2022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-17.3%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-20.2%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-17.0%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-14.2%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-13.2%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-13.8%</w:t>
            </w:r>
          </w:p>
        </w:tc>
      </w:tr>
      <w:tr>
        <w:tc>
          <w:tcPr>
            <w:tcW w:type="dxa" w:w="308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Longest underwater (days)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427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431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163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395</w:t>
            </w:r>
          </w:p>
        </w:tc>
        <w:tc>
          <w:tcPr>
            <w:tcW w:type="dxa" w:w="99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298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047875"/>
            <wp:effectExtent t="0" r="0" b="0" l="0"/>
            <wp:docPr id="1" name="ws1_ma_dd_surface.png" descr="Blend drawdown metrics versus lookback" title="Blend drawdown metrics versus lookb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2 — blend drawdown surface. Max drawdown is horizon-invariant (COVID 2020 binds at every lookback — a crash faster than any MA in the grid); every conditionable metric prefers slow. The fast-vs-slow underwater contrast (400-580 days vs 270-300) is robust; the 163-day reading at exactly 200d is path-specific.</w:t>
      </w:r>
    </w:p>
    <w:p>
      <w:pPr>
        <w:spacing w:after="120"/>
      </w:pPr>
      <w:r>
        <w:t xml:space="preserve">The one genuine trade-off: fast lookbacks did protect the momentum sleeves in the COVID crash specifically (C at W=50: -19.3% versus -32.5% at 200d) and paid for it in every choppy grind. This asymmetry is the division of labour the architecture already encodes — slow selection horizons, fast 50d gate.</w:t>
      </w:r>
    </w:p>
    <w:p>
      <w:pPr>
        <w:pStyle w:val="Heading2"/>
      </w:pPr>
      <w:r>
        <w:t xml:space="preserve">3.3 Walk-forward horizon selection</w:t>
      </w:r>
    </w:p>
    <w:p>
      <w:pPr>
        <w:spacing w:after="120"/>
      </w:pPr>
      <w:r>
        <w:t xml:space="preserve">Annual expanding re-fits (year-ends 2021-2025) choosing the lookback from the 13-point grid on train data only; 100% one-way turnover charged per sleeve on every change; all protocols scored on the identical OOS window.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800"/>
        <w:gridCol w:w="2626"/>
      </w:tblGrid>
      <w:tr>
        <w:trPr>
          <w:tblHeader/>
        </w:trP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Protocol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OOS Sharpe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Lookbacks used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200d (deployed)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+1.183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250d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+1.181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Fixed 275d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+1.227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Walk-forward, common horizon (annual re-fit)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+1.170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275 to 325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Walk-forward, per-sleeve horizons (annual re-fit)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+1.107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 to 325</w:t>
            </w:r>
          </w:p>
        </w:tc>
      </w:tr>
      <w:tr>
        <w:tc>
          <w:tcPr>
            <w:tcW w:type="dxa" w:w="4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Oracle fixed (hindsight upper bound)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+1.227</w:t>
            </w:r>
          </w:p>
        </w:tc>
        <w:tc>
          <w:tcPr>
            <w:tcW w:type="dxa" w:w="2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275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The plateau's gradient is smaller than the selection variance of any honest re-fit process. Recalibration of the horizon demonstrably loses out of sample; the parameter is closed rather than deferred.</w:t>
      </w:r>
    </w:p>
    <w:p>
      <w:pPr>
        <w:pStyle w:val="Heading2"/>
      </w:pPr>
      <w:r>
        <w:t xml:space="preserve">3.4 Vol-normalised and ensemble variants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6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Variant (sleeve-level full Sharpe)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</w:t>
            </w:r>
          </w:p>
        </w:tc>
      </w:tr>
      <w:t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V0 deployed (binary breadth / raw distance, 200d)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+1.01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+0.87</w:t>
            </w:r>
          </w:p>
        </w:tc>
      </w:tr>
      <w:t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Graded raw distance, 200d (grading alone)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n/a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+0.65</w:t>
            </w:r>
          </w:p>
        </w:tc>
      </w:tr>
      <w:t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Vol-normalised z, 200d (item 3a)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+0.82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+0.96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+0.69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+0.56</w:t>
            </w:r>
          </w:p>
        </w:tc>
      </w:tr>
      <w:t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Ensemble 50/100/150/200, raw (item 2a)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+0.84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+0.67</w:t>
            </w:r>
          </w:p>
        </w:tc>
      </w:tr>
      <w:tr>
        <w:tc>
          <w:tcPr>
            <w:tcW w:type="dxa" w:w="470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Vol-normalised ensemble (2a + 3a joint)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+0.72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+0.43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Sixteen of seventeen sleeve-level variants fail the cheap-reflex bar (OOS test delta &gt;= 0; at least 4 of 6 regimes not worse; survives 2x cost). Attribution is clean: grading the breadth count, vol-normalising, and multi-horizon ensembling each hurt independently; composed, the all-variant blend is +0.89 versus +1.20 deployed. The bucketed-horizon fallback was skipped on evidence: fair cross-bucket ranking requires the vol-normalisation that failed, and sleeve B — the genuinely cross-asset sleeve — prefers slow horizons for the whole basket while C's preference is noise. Vol-targeted sleeve sizing fails (blend -0.015 full, consistency 2/6). The slope gate on B is the sole formal survivor (+0.006 blend full, +0.021 test, 4/6) — an economically negligible effect, not deployed, logged for the Workstream 3 shortlist.</w:t>
      </w:r>
    </w:p>
    <w:p>
      <w:pPr>
        <w:pStyle w:val="Heading2"/>
      </w:pPr>
      <w:r>
        <w:t xml:space="preserve">3.5 Threshold surfaces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ws1_threshold_surface.png" descr="Threshold surfaces: Sleeve C floor by gate full and test Sharpe, and Phase 19 hysteresis surface" title="Threshold surfaces: Sleeve C floor by gate full and test Sharpe, and Phase 19 hysteresis sur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Figure 3 — threshold surfaces; deployed cells outlined; * marks degenerate cells (average invested share below 60%). The C ridge that looks attractive full-window fades out of sample (middle panel).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Phase 19 gate (off x on hysteresis): FLAT. All 25 valid pairs Sharpe +1.22 to +1.33 versus +1.20 ungated; every pair improves both Sharpe and max drawdown; deployed 20%/50% sits mid-plateau (+1.287). The gate's value is structural, not parameter luck. Keep.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Sleeve C floor x gate: bumpy, with the high-gate ridge earning its full-window Sharpe in the train half (floor 0%/gate 50%: train +1.23, test +0.72) — independent confirmation of the Phase 27 bake-off that rejected the 50% gate. The high-floor/high-gate corner is degenerate (invested share down to 24%).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Pre-registered candidate — remove the +5% floor, keep the 30% gate: full +0.78 vs +0.74, test +0.83 vs +0.69, 5/6 regimes, survives 2x cost, one knob fewer, lower turnover; BUT max drawdown -48% vs -36%, the floor's entire value sitting in the 2022 grind (sub-period Sharpe -2.49 vs -0.94). Sharpe says remove; drawdown says keep. Carried to Workstream 3 as a stated trade-off.</w:t>
      </w:r>
    </w:p>
    <w:p>
      <w:pPr>
        <w:pStyle w:val="Heading1"/>
      </w:pPr>
      <w:r>
        <w:t xml:space="preserve">4.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00"/>
        <w:gridCol w:w="37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Decision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Basis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lookbacks (200d, all four sleeves)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closed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 slow plateau; walk-forward re-fit loses OOS (3.1, 3.3)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Signal formulation (binary breadth / raw distance)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closed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 vol/ensemble variants fail OOS (3.4)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Vol-targeted sleeve sizing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REJECT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 OOS payoff, adds a knob (3.4)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Slope gate on B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NOT DEPLOYED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Passes bar, effect negligible; WS3 shortlist (3.4)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Phase 19 gate thresholds (20%/50%)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 — caveat defused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Flat surface, every cell beats ungated (3.5)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Sleeve C +5% floor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KEEP, FLAGGED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OOS Sharpe favours removal, drawdown opposes; WS3 shortlist (3.5)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 sleeve-gate 30%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KEEP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OOS-robust vs 40-50% alternatives (3.5, Phase 27)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Trial register for the Workstream 3 deflated-Sharpe audit: 65 lookback-surface evaluations (13 x 5 including blend), 17 signal variants, 2 overlays, 5 walk-forward protocols, 25 C threshold cells, 25 gate cells — approximately 139 configurations evaluated this review, none selected for deployment.</w:t>
      </w:r>
    </w:p>
    <w:p>
      <w:pPr>
        <w:pStyle w:val="Heading1"/>
      </w:pPr>
      <w:r>
        <w:t xml:space="preserve">5. Artefact register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Scripts (new, deployed engines untouched): ws1_common.py, run_ws1_ma_surface.py, run_ws1_vol_variants.py, run_ws1_wf_horizon.py, run_ws1_threshold_surface.py, plot_ws1_surface.py, plot_ws1_thresholds.py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Data: ws1_ma_surface.json, ws1_vol_variants.json, ws1_wf_horizon.json, ws1_threshold_surface.json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Charts: ws1_ma_surface.png, ws1_ma_dd_surface.png, ws1_threshold_surface.png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Memo: RESEARCH_MEMO.md (Workstream 0 map, ranked plan, findings 1-4)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Commits: d98903b (WS0+WS1 deliverables), 5d5f151 (drawdown addendum), dc1b332 (dense grid + charts), 893e7b5 (walk-forward + thresholds)</w:t>
      </w:r>
    </w:p>
    <w:p>
      <w:pPr>
        <w:pStyle w:val="Heading1"/>
      </w:pPr>
      <w:r>
        <w:t xml:space="preserve">6. Next phase</w:t>
      </w:r>
    </w:p>
    <w:p>
      <w:pPr>
        <w:spacing w:after="120"/>
      </w:pPr>
      <w:r>
        <w:t xml:space="preserve">Per the staged plan, the next session is Workstream 2 (universe): EEM coherence, correlation-cluster overlap control, trend-opportunity map, country-momentum sleeve evaluation against the EEM+EFA hurdle, and data-integrity gates for any addition. Workstream 3 (heavy robustness gate) runs once, on the frozen shortlist, and inherits this review's trial register, the C-floor trade-off, and the slope-gate re-check.</w:t>
      </w:r>
    </w:p>
    <w:p>
      <w:pPr>
        <w:spacing w:after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Sign-off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Claude Code research session (Fable 5), under direction of Zhenghao Phua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Reviewed and approved by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Workstream 2 — universe (session 2 of the staged review)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777777"/>
          <w:sz w:val="17"/>
          <w:szCs w:val="17"/>
        </w:rPr>
        <w:t xml:space="preserve">Personal research artefact. All performance figures are simulated backtests in USD, net of stated costs; nothing in this document is investment advice.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808080"/>
        <w:sz w:val="16"/>
        <w:szCs w:val="16"/>
      </w:rPr>
      <w:t xml:space="preserve">breadth-thrust-etf — strategy review record</w:t>
    </w:r>
    <w:r>
      <w:rPr>
        <w:color w:val="808080"/>
        <w:sz w:val="16"/>
        <w:szCs w:val="16"/>
      </w:rPr>
      <w:t xml:space="preserve">	WS0 + WS1 · 2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4B7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876335a35d46e7ac1987634fd836f0a54ca9a2.png"/><Relationship Id="rId10" Type="http://schemas.openxmlformats.org/officeDocument/2006/relationships/image" Target="media/23d737eeed8a4469155e2a5aacc828210104c3b8.png"/><Relationship Id="rId11" Type="http://schemas.openxmlformats.org/officeDocument/2006/relationships/image" Target="media/89b80e2439497f9ea43ae01313693fe55a61125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2026-07-02T04:10:31.728Z</dcterms:created>
  <dcterms:modified xsi:type="dcterms:W3CDTF">2026-07-02T04:10:31.728Z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