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</w:pPr>
      <w:r>
        <w:rPr>
          <w:b/>
          <w:bCs/>
          <w:sz w:val="38"/>
          <w:szCs w:val="38"/>
        </w:rPr>
        <w:t xml:space="preserve">Did we tune this strategy to the past?</w:t>
      </w:r>
    </w:p>
    <w:p>
      <w:pPr>
        <w:spacing w:after="40" w:line="276"/>
      </w:pPr>
      <w:r>
        <w:rPr>
          <w:sz w:val="24"/>
          <w:szCs w:val="24"/>
        </w:rPr>
        <w:t xml:space="preserve">A plain-language summary of the settings review of the four-book ETF rotation strategy</w:t>
      </w:r>
    </w:p>
    <w:p>
      <w:pPr>
        <w:spacing w:after="200" w:line="276"/>
      </w:pPr>
      <w:r>
        <w:rPr>
          <w:color w:val="555555"/>
          <w:sz w:val="20"/>
          <w:szCs w:val="20"/>
        </w:rPr>
        <w:t xml:space="preserve">Thursday, 2 July 2026 · companion to the technical review record</w:t>
      </w:r>
    </w:p>
    <w:p>
      <w:pPr>
        <w:pBdr>
          <w:bottom w:val="single" w:color="1F3864" w:sz="8" w:space="1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21"/>
                <w:szCs w:val="21"/>
              </w:rPr>
              <w:t xml:space="preserve">The question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strategy was built by trial and error on 2018-2026 market data. The danger with any backtest is settings that fit the past but fail in the future. This review stress-tested every important setting to see whether any of them is a lucky number.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21"/>
                <w:szCs w:val="21"/>
              </w:rPr>
              <w:t xml:space="preserve">The answer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setting was changed, for a good reason: every setting sits in a broad stable range, and every 'smarter' alternative we tested performed worse on data the models had never seen. Around 139 tests were run and logged.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21"/>
                <w:szCs w:val="21"/>
              </w:rPr>
              <w:t xml:space="preserve">How it was tested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Fixed 7.6-year window (November 2018 to June 2026), realistic trading costs (also re-tested at double costs), and history split in half — nothing was tuned to the period after September 2022, so results there are the closest a backtest gets to an honest exam.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1"/>
      </w:pPr>
      <w:r>
        <w:t xml:space="preserve">The strategy in plain terms</w:t>
      </w:r>
    </w:p>
    <w:p>
      <w:pPr>
        <w:spacing w:after="140" w:line="276"/>
      </w:pPr>
      <w:r>
        <w:t xml:space="preserve">The portfolio runs four rotation books side by side. Each holds the strongest funds in its universe and reviews its holdings weekly: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US sectors (35%) — </w:t>
      </w:r>
      <w:r>
        <w:t xml:space="preserve">sector funds ranked by how many of their member stocks are in an uptrend.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Global asset classes (35%) — </w:t>
      </w:r>
      <w:r>
        <w:t xml:space="preserve">equities, bonds, gold, commodities and property funds ranked by price trend; parks in short-term Treasuries when trends are weak.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Thematics (10%) — </w:t>
      </w:r>
      <w:r>
        <w:t xml:space="preserve">AI, clean energy, biotech, bitcoin and similar funds; the same trend ranking with an extra entry hurdle and its own exit brake.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European sectors (20%) — </w:t>
      </w:r>
      <w:r>
        <w:t xml:space="preserve">ranked like the US sector book.</w:t>
      </w:r>
    </w:p>
    <w:p>
      <w:pPr>
        <w:spacing w:after="140" w:line="276"/>
      </w:pPr>
      <w:r>
        <w:t xml:space="preserve">Two safety mechanisms sit on top: a </w:t>
      </w:r>
      <w:r>
        <w:rPr>
          <w:b/>
          <w:bCs/>
        </w:rPr>
        <w:t xml:space="preserve">market-breadth brake</w:t>
      </w:r>
      <w:r>
        <w:t xml:space="preserve"> that moves half the portfolio into short-term Treasuries when most S&amp;P 500 stocks have broken down, and an </w:t>
      </w:r>
      <w:r>
        <w:rPr>
          <w:b/>
          <w:bCs/>
        </w:rPr>
        <w:t xml:space="preserve">emerging-markets tilt</w:t>
      </w:r>
      <w:r>
        <w:t xml:space="preserve"> that adds exposure when emerging markets are trending ahead of the US.</w:t>
      </w:r>
    </w:p>
    <w:p>
      <w:pPr>
        <w:spacing w:after="140" w:line="276"/>
      </w:pPr>
      <w:r>
        <w:t xml:space="preserve">Every book defines ‘trend’ the same way: is the price above its average of the last 200 trading days — roughly ten months? That one number, and the trigger levels of the safety mechanisms, are what this review examined.</w:t>
      </w:r>
    </w:p>
    <w:p>
      <w:pPr>
        <w:pStyle w:val="Heading1"/>
      </w:pPr>
      <w:r>
        <w:t xml:space="preserve">Five findings</w:t>
      </w:r>
    </w:p>
    <w:p>
      <w:pPr>
        <w:spacing w:after="60" w:line="276"/>
      </w:pPr>
      <w:r>
        <w:rPr>
          <w:b/>
          <w:bCs/>
        </w:rPr>
        <w:t xml:space="preserve">1. The ten-month trend measure is the right speed, and it is not a lucky number.</w:t>
      </w:r>
    </w:p>
    <w:p>
      <w:pPr>
        <w:spacing w:after="200" w:line="276"/>
      </w:pPr>
      <w:r>
        <w:t xml:space="preserve">We re-ran the entire strategy at thirteen trend speeds, from one month to fifteen months, on identical data and costs. Fast settings were clearly worse — they were whipsawed in the choppy 2022 market. Everything from ten months upward performed within a hair’s breadth of everything else. The chart below is the whole story.</w:t>
      </w:r>
    </w:p>
    <w:p>
      <w:pPr>
        <w:spacing w:after="60" w:before="120"/>
        <w:jc w:val="center"/>
      </w:pPr>
      <w:r>
        <w:drawing>
          <wp:inline distT="0" distB="0" distL="0" distR="0">
            <wp:extent cx="5857875" cy="2895600"/>
            <wp:effectExtent t="0" r="0" b="0" l="0"/>
            <wp:docPr id="1" name="ws1_blend_surface_simple.png" descr="Risk-adjusted return versus trend length: slower is better and the current 200-day setting sits in the stable zone" title="Risk-adjusted return versus trend length: slower is better and the current 200-day setting sits in the stable 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</w:pPr>
      <w:r>
        <w:rPr>
          <w:i/>
          <w:iCs/>
          <w:color w:val="555555"/>
          <w:sz w:val="19"/>
          <w:szCs w:val="19"/>
        </w:rPr>
        <w:t xml:space="preserve">How to read this: ‘risk-adjusted return’ is the Sharpe ratio — yearly return divided by yearly volatility; higher is better, and on 7.6 years of data differences smaller than about 0.4 are statistical noise. The current setting is circled; the shaded zone is where results are all within noise of the best.</w:t>
      </w:r>
    </w:p>
    <w:p>
      <w:pPr>
        <w:spacing w:after="60" w:line="276"/>
      </w:pPr>
      <w:r>
        <w:rPr>
          <w:b/>
          <w:bCs/>
        </w:rPr>
        <w:t xml:space="preserve">2. Leaving the setting alone beats re-tuning it.</w:t>
      </w:r>
    </w:p>
    <w:p>
      <w:pPr>
        <w:spacing w:after="200" w:line="276"/>
      </w:pPr>
      <w:r>
        <w:t xml:space="preserve">We simulated a manager who re-tunes the trend speed every January using only information available at the time. That manager finished </w:t>
      </w:r>
      <w:r>
        <w:rPr>
          <w:b/>
          <w:bCs/>
        </w:rPr>
        <w:t xml:space="preserve">behind</w:t>
      </w:r>
      <w:r>
        <w:t xml:space="preserve"> the one who never touched it (risk-adjusted return 1.17 versus 1.18; re-tuning each book separately was worse still at 1.11). With hindsight, a slightly slower setting would have scored 1.23 — but no honest, real-time process captures that. The practical lesson for allocators: in this strategy, discipline beats optimisation.</w:t>
      </w:r>
    </w:p>
    <w:p>
      <w:pPr>
        <w:spacing w:after="60" w:line="276"/>
      </w:pPr>
      <w:r>
        <w:rPr>
          <w:b/>
          <w:bCs/>
        </w:rPr>
        <w:t xml:space="preserve">3. More sophisticated signal mathematics made results worse, not better.</w:t>
      </w:r>
    </w:p>
    <w:p>
      <w:pPr>
        <w:spacing w:after="200" w:line="276"/>
      </w:pPr>
      <w:r>
        <w:t xml:space="preserve">Sixteen of seventeen ‘smarter’ variants — adjusting signals for volatility, blending several trend speeds — reduced returns on the held-out half of history. Applied across the whole portfolio they would have cut the risk-adjusted return from 1.20 to 0.89. The simple version of the signal is the strong version.</w:t>
      </w:r>
    </w:p>
    <w:p>
      <w:pPr>
        <w:spacing w:after="60" w:line="276"/>
      </w:pPr>
      <w:r>
        <w:rPr>
          <w:b/>
          <w:bCs/>
        </w:rPr>
        <w:t xml:space="preserve">4. The safety brake is robust, not lucky — a long-standing caveat is retired.</w:t>
      </w:r>
    </w:p>
    <w:p>
      <w:pPr>
        <w:spacing w:after="200" w:line="276"/>
      </w:pPr>
      <w:r>
        <w:t xml:space="preserve">The brake’s trigger levels were originally chosen from a small search, which fairly raised the question of overfitting. We tested all 25 sensible trigger combinations: every single one improved both returns and the worst peak-to-trough loss versus running without the brake (roughly −16% with it, −24% without). The chosen levels sit in the middle of that safe range. The brake works because of what it does, not because of the numbers picked.</w:t>
      </w:r>
    </w:p>
    <w:p>
      <w:pPr>
        <w:spacing w:after="60" w:line="276"/>
      </w:pPr>
      <w:r>
        <w:rPr>
          <w:b/>
          <w:bCs/>
        </w:rPr>
        <w:t xml:space="preserve">5. The thematic book is the weakest link; one tempting simplification was examined and declined.</w:t>
      </w:r>
    </w:p>
    <w:p>
      <w:pPr>
        <w:spacing w:after="200" w:line="276"/>
      </w:pPr>
      <w:r>
        <w:t xml:space="preserve">Removing the thematic book’s +5% entry hurdle would have improved returns on unseen data but deepened that book’s worst loss from −36% to −48%, all of it in the 2022 downturn. Return said yes; risk said no. The hurdle stays, and the final stage of the review subsequently kept it and placed the thematic book on formal watch.</w:t>
      </w:r>
    </w:p>
    <w:p>
      <w:pPr>
        <w:pStyle w:val="Heading1"/>
      </w:pPr>
      <w:r>
        <w:t xml:space="preserve">What an allocator should take away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engine settings are stable: nowhere does performance depend on a finely-tuned number, and the review actively tried to find 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Every attempt to improve the strategy by being cleverer — re-tuning, volatility adjustment, signal blending — failed on unseen data. The deployed version earned its simplicity.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honest remaining risks are not settings: the thematic book is the weakest component (now on watch), the simulated history is only 7.6 years, and every figure in this document is a backtest, not a live track record.</w:t>
      </w:r>
    </w:p>
    <w:p>
      <w:pPr>
        <w:spacing w:after="100" w:line="276"/>
      </w:pPr>
      <w:r>
        <w:t xml:space="preserve"/>
      </w:r>
    </w:p>
    <w:p>
      <w:pPr>
        <w:spacing w:after="140" w:line="276"/>
      </w:pPr>
      <w:r>
        <w:rPr>
          <w:i/>
          <w:iCs/>
          <w:color w:val="777777"/>
          <w:sz w:val="17"/>
          <w:szCs w:val="17"/>
        </w:rPr>
        <w:t xml:space="preserve">Document of record: the full technical review (reviews/2026-07-02_ws0-ws1_ma-robustness.docx) contains the methodology, all tables and the audit trail. Personal research artefact; all performance figures are simulated backtests in USD, net of stated costs; nothing in this document is investment advice.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6"/>
        <w:szCs w:val="16"/>
      </w:rPr>
      <w:t xml:space="preserve">Rotation strategy — settings review, plain-language summary</w:t>
    </w:r>
    <w:r>
      <w:rPr>
        <w:color w:val="808080"/>
        <w:sz w:val="16"/>
        <w:szCs w:val="16"/>
      </w:rPr>
      <w:t xml:space="preserve">	2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b1c322f86fc6018d18edeb4bfb393fef0ebe7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2026-07-02T15:05:56.045Z</dcterms:created>
  <dcterms:modified xsi:type="dcterms:W3CDTF">2026-07-02T15:05:56.045Z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