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sz w:val="40"/>
          <w:szCs w:val="40"/>
        </w:rPr>
        <w:t xml:space="preserve">Is the fund list right — nothing missing, nothing held twice?</w:t>
      </w:r>
    </w:p>
    <w:p>
      <w:pPr>
        <w:spacing w:after="60" w:before="0"/>
      </w:pPr>
      <w:r>
        <w:rPr>
          <w:sz w:val="24"/>
          <w:szCs w:val="24"/>
        </w:rPr>
        <w:t xml:space="preserve">Universe review of the four-book ETF rotation strategy — plain-language summary</w:t>
      </w:r>
    </w:p>
    <w:p>
      <w:pPr>
        <w:spacing w:after="200" w:before="0"/>
      </w:pPr>
      <w:r>
        <w:rPr>
          <w:color w:val="555555"/>
          <w:sz w:val="20"/>
          <w:szCs w:val="20"/>
        </w:rPr>
        <w:t xml:space="preserve">Friday, 3 July 2026 · summary of the review conducted on 2 July 2026</w:t>
      </w:r>
    </w:p>
    <w:p>
      <w:pPr>
        <w:pBdr>
          <w:bottom w:val="single" w:color="1F3864" w:sz="8" w:space="1"/>
        </w:pBd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The questions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Three questions about the fund list: is any lasting trend beyond the portfolio's reach; is any bet accidentally held twice; and should country funds or commodity funds be added?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The answers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Nothing worth adding is missing — every candidate addition failed on data the models had never seen. One accidental double position was found and fixed: the broad emerging-markets fund was held through two mechanisms at once, with nothing capping the combined size; it is now held through one. Everything else stays exactly as it was.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How it was tested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Fixed 7.6-year window (November 2018 to June 2026) with everything after September 2022 held out as an honest exam; every candidate had to beat a simple benchmark after costs, work in at least four of six market regimes, and survive doubled trading costs. 32 configurations tested.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20" w:before="0"/>
      </w:pPr>
      <w:r>
        <w:rPr>
          <w:b/>
          <w:bCs/>
          <w:sz w:val="24"/>
          <w:szCs w:val="24"/>
        </w:rPr>
        <w:t xml:space="preserve">1. The broad emerging-markets fund was held two ways at once — that is now fixed.</w:t>
      </w:r>
    </w:p>
    <w:p>
      <w:pPr>
        <w:spacing w:after="120" w:before="0"/>
      </w:pPr>
      <w:r>
        <w:t xml:space="preserve">The EM fund sat inside the global asset-class book — which held it on 45% of all days, and on 88% of the days the EM overlay was also on — so the combined position repeatedly ran to 15% of the portfolio with no rule anywhere capping it; since 2 July 2026 the overlay is the only route into the fund.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ws2_sum_eem_lookthrough.png" descr="Navy: how much of the broad-EM fund the portfolio actually held under the old set-up. Teal dashes: the new set-up — the overlay is the only route, hard-capped at 10%. Red shading marks the excess. The thematic book's China-technology names are separate, deliberately-sized theme positions (at most 4% of the portfolio in this window)." title="Navy: how much of the broad-EM fund the portfolio actually held under the old set-up. Teal dashes: the new set-up — the overlay is the only route, hard-capped at 10%. Red shading marks the excess. The thematic book's China-technology names are separate, deliberately-sized theme positions (at most 4% of the portfolio in this window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Navy: how much of the broad-EM fund the portfolio actually held under the old set-up. Teal dashes: the new set-up — the overlay is the only route, hard-capped at 10%. Red shading marks the excess. The thematic book's China-technology names are separate, deliberately-sized theme positions (at most 4% of the portfolio in this window).</w:t>
      </w:r>
    </w:p>
    <w:p>
      <w:pPr>
        <w:spacing w:after="120" w:before="0"/>
      </w:pPr>
      <w:r>
        <w:rPr>
          <w:b/>
          <w:bCs/>
          <w:sz w:val="24"/>
          <w:szCs w:val="24"/>
        </w:rPr>
        <w:t xml:space="preserve">2. The fix is housekeeping, not a performance bet.</w:t>
      </w:r>
    </w:p>
    <w:p>
      <w:pPr>
        <w:spacing w:after="120" w:before="0"/>
      </w:pPr>
      <w:r>
        <w:t xml:space="preserve">All four possible arrangements of the EM position produce the same whole-portfolio result within the margin of error, so the choice was made on clarity of risk — one mechanism, one attributable bet — rather than on any return claim.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ws2_sum_eem_ablation.png" descr="Risk-adjusted return = Sharpe ratio (return per unit of volatility; higher is better). The spread across the four options is under 0.01 against a margin of error of roughly ±0.4 on 7.6 years — statistically identical. The chosen arrangement also leaves the global book no worse on its own (+1.02 without the EM fund vs +1.01 with)." title="Risk-adjusted return = Sharpe ratio (return per unit of volatility; higher is better). The spread across the four options is under 0.01 against a margin of error of roughly ±0.4 on 7.6 years — statistically identical. The chosen arrangement also leaves the global book no worse on its own (+1.02 without the EM fund vs +1.01 with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Risk-adjusted return = Sharpe ratio (return per unit of volatility; higher is better). The spread across the four options is under 0.01 against a margin of error of roughly ±0.4 on 7.6 years — statistically identical. The chosen arrangement also leaves the global book no worse on its own (+1.02 without the EM fund vs +1.01 with).</w:t>
      </w:r>
    </w:p>
    <w:p>
      <w:pPr>
        <w:spacing w:after="120" w:before="0"/>
      </w:pPr>
      <w:r>
        <w:rPr>
          <w:b/>
          <w:bCs/>
          <w:sz w:val="24"/>
          <w:szCs w:val="24"/>
        </w:rPr>
        <w:t xml:space="preserve">3. Country funds were tested and declined — they only work when EM is already winning.</w:t>
      </w:r>
    </w:p>
    <w:p>
      <w:pPr>
        <w:spacing w:after="120" w:before="0"/>
      </w:pPr>
      <w:r>
        <w:t xml:space="preserve">A rotation across ten single-country funds beats a simple half-EM, half-developed benchmark over the full window (+0.70 vs +0.60) but lost the entire first half of the sample and wins in only three of six market regimes — a fair-weather strategy that duplicates the EM overlay with more moving parts.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228850"/>
            <wp:effectExtent t="0" r="0" b="0" l="0"/>
            <wp:docPr id="1" name="ws2_sum_country_regimes.png" descr="Navy: the candidate country-fund rotation. Grey: the do-nothing benchmark (half EM fund, half developed-markets fund). The pre-registered pass bar required at least four regime wins of six; it scored three, so the idea was declined without further tuning." title="Navy: the candidate country-fund rotation. Grey: the do-nothing benchmark (half EM fund, half developed-markets fund). The pre-registered pass bar required at least four regime wins of six; it scored three, so the idea was declined without further tun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Navy: the candidate country-fund rotation. Grey: the do-nothing benchmark (half EM fund, half developed-markets fund). The pre-registered pass bar required at least four regime wins of six; it scored three, so the idea was declined without further tuning.</w:t>
      </w:r>
    </w:p>
    <w:p>
      <w:pPr>
        <w:spacing w:after="120" w:before="0"/>
      </w:pPr>
      <w:r>
        <w:rPr>
          <w:b/>
          <w:bCs/>
          <w:sz w:val="24"/>
          <w:szCs w:val="24"/>
        </w:rPr>
        <w:t xml:space="preserve">4. Commodity funds were tested and declined — the case lived in the rear-view mirror.</w:t>
      </w:r>
    </w:p>
    <w:p>
      <w:pPr>
        <w:spacing w:after="120" w:before="0"/>
      </w:pPr>
      <w:r>
        <w:t xml:space="preserve">Adding commodity-sector funds improved the first half of the sample (which contains the 2021-22 commodity boom) and made the held-out second half clearly worse at every level — the signature of an idea fitted to the past — and the verdict stands even with the extra trading assumed to cost nothing.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ws2_sum_commodity.png" descr="Each pair shows the change in risk-adjusted return from adding the commodity funds: teal = first half of history, red = the held-out second half. Improvement that appears only in the first half is hindsight, not edge." title="Each pair shows the change in risk-adjusted return from adding the commodity funds: teal = first half of history, red = the held-out second half. Improvement that appears only in the first half is hindsight, not 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Each pair shows the change in risk-adjusted return from adding the commodity funds: teal = first half of history, red = the held-out second half. Improvement that appears only in the first half is hindsight, not edge.</w:t>
      </w:r>
    </w:p>
    <w:p>
      <w:pPr>
        <w:spacing w:after="120" w:before="0"/>
      </w:pPr>
      <w:r>
        <w:rPr>
          <w:b/>
          <w:bCs/>
          <w:sz w:val="24"/>
          <w:szCs w:val="24"/>
        </w:rPr>
        <w:t xml:space="preserve">5. Nothing on the wider map is missing.</w:t>
      </w:r>
    </w:p>
    <w:p>
      <w:pPr>
        <w:spacing w:after="120" w:before="0"/>
      </w:pPr>
      <w:r>
        <w:t xml:space="preserve">Every part of the investable landscape is either covered by one of the four books, deliberately excluded with the reasoning on record, or was tested this session and declined — including a frontier-markets fund that turned out to have been liquidated in January 2025, caught by the review's own data checks.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ws2_trend_map.png" descr="The full opportunity map. Green = covered; blue = deliberately covered twice by two different signals; amber = partial; grey = deliberate gap with documented reasoning; red = open gap or tested-and-declined; violet = blocked by the duplicate-holdings rule." title="The full opportunity map. Green = covered; blue = deliberately covered twice by two different signals; amber = partial; grey = deliberate gap with documented reasoning; red = open gap or tested-and-declined; violet = blocked by the duplicate-holdings ru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The full opportunity map. Green = covered; blue = deliberately covered twice by two different signals; amber = partial; grey = deliberate gap with documented reasoning; red = open gap or tested-and-declined; violet = blocked by the duplicate-holdings rule.</w:t>
      </w:r>
    </w:p>
    <w:p>
      <w:pPr>
        <w:pStyle w:val="Heading1"/>
      </w:pPr>
      <w:r>
        <w:t xml:space="preserve">What an allocator should take away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fund list was audited end to end — every holding against every other, and every candidate against the holdings — and survived with one housekeeping fix and no additions.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Additions were declined on evidence, not conservatism: each failed on data the models had never seen — the same discipline that has kept the settings unchanged.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honest caveats stand: the portfolio averages roughly half its weight in one US-equity cluster (peaking above 80%), the thematic book remains the weakest component, and every figure is a simulated backtest, not a live record.</w:t>
      </w:r>
    </w:p>
    <w:p>
      <w:pPr>
        <w:pStyle w:val="Heading1"/>
      </w:pPr>
      <w:r>
        <w:t xml:space="preserve">Appendix — the work behind the summary</w:t>
      </w:r>
    </w:p>
    <w:p>
      <w:pPr>
        <w:spacing w:after="120" w:before="0"/>
      </w:pPr>
      <w:r>
        <w:t xml:space="preserve">These are the working exhibits behind the findings, included to show the depth of testing. Labels are technical; the captions carry the message.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A1. Everything that was tested.</w:t>
      </w:r>
    </w:p>
    <w:p>
      <w:pPr>
        <w:spacing w:after="120" w:before="0"/>
      </w:pPr>
      <w:r>
        <w:t xml:space="preserve">Every candidate change faced the same three-part exam — beat the benchmark on unseen data, work in at least four of six regimes, survive doubled costs — and thirty-one of thirty-two configurations failed to justify a change; the thirty-second was the EM housekeeping fix.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895475"/>
            <wp:effectExtent t="0" r="0" b="0" l="0"/>
            <wp:docPr id="1" name="ws2_sum_scope.png" descr="Configurations tested by category. The one change made claims no performance improvement." title="Configurations tested by category. The one change made claims no performance improve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Configurations tested by category. The one change made claims no performance improvement.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A2. Every fund compared with every other.</w:t>
      </w:r>
    </w:p>
    <w:p>
      <w:pPr>
        <w:spacing w:after="120" w:before="0"/>
      </w:pPr>
      <w:r>
        <w:t xml:space="preserve">The 72-fund correlation matrix behind the duplicate-holdings rule: any candidate moving in near-lockstep with an existing holding (correlation above 0.9) was rejected by rule — the same rule that had earlier removed a duplicated technology fund from the US book.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4667250"/>
            <wp:effectExtent t="0" r="0" b="0" l="0"/>
            <wp:docPr id="1" name="ws2_correlation.png" descr="Red = moves together; blue = moves opposite. Label colours mark the four books and the candidates. The tight red blocks are families of near-identical funds — exactly what the rule screens against; the broad-EM candidate was rejected at 0.998 correlation to the fund already held." title="Red = moves together; blue = moves opposite. Label colours mark the four books and the candidates. The tight red blocks are families of near-identical funds — exactly what the rule screens against; the broad-EM candidate was rejected at 0.998 correlation to the fund already he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Red = moves together; blue = moves opposite. Label colours mark the four books and the candidates. The tight red blocks are families of near-identical funds — exactly what the rule screens against; the broad-EM candidate was rejected at 0.998 correlation to the fund already held.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A3. The honest concentration number.</w:t>
      </w:r>
    </w:p>
    <w:p>
      <w:pPr>
        <w:spacing w:after="120" w:before="0"/>
      </w:pPr>
      <w:r>
        <w:t xml:space="preserve">Measuring overlap across the books for the first time shows the portfolio averages 47% of its weight in one cluster of US-equity-linked funds, peaking at 83% in strong markets — a deliberate consequence of two books reading the same market through different signals, now quantified and handed to the closing robustness review.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33600"/>
            <wp:effectExtent t="0" r="0" b="0" l="0"/>
            <wp:docPr id="1" name="ws2_sum_usbeta.png" descr="Share of the portfolio in the US-equity cluster over time. The dips towards zero are the books stepping aside into cash in weak markets — the system working as designed." title="Share of the portfolio in the US-equity cluster over time. The dips towards zero are the books stepping aside into cash in weak markets — the system working as design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Share of the portfolio in the US-equity cluster over time. The dips towards zero are the books stepping aside into cash in weak markets — the system working as designed.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The wider programme.  </w:t>
      </w:r>
      <w:r>
        <w:t xml:space="preserve">This review covered the fund list. The settings review (filed 2 July, summarised 3 July) found no setting worth changing, and the closing robustness review (filed 2 July) re-tested the final configuration across roughly 217 registered trials and kept it unchanged. All three records sit in the project's reviews/ folder.</w:t>
      </w:r>
    </w:p>
    <w:p>
      <w:pPr>
        <w:spacing w:after="120" w:before="0"/>
      </w:pPr>
      <w:r>
        <w:rPr>
          <w:i/>
          <w:iCs/>
          <w:color w:val="777777"/>
          <w:sz w:val="17"/>
          <w:szCs w:val="17"/>
        </w:rPr>
        <w:t xml:space="preserve">Document of record: reviews/2026-07-02_ws2_universe.docx, with the full test detail in reviews/2026-07-02_ws2_test-appendix.docx (methodology, tables, audit trail). Personal research artefact; all figures are simulated backtests in USD net of stated costs; nothing in this document is investment advice.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08080"/>
        <w:sz w:val="16"/>
        <w:szCs w:val="16"/>
      </w:rPr>
      <w:t xml:space="preserve">Universe review — plain-language summary</w:t>
    </w:r>
    <w:r>
      <w:rPr>
        <w:color w:val="808080"/>
        <w:sz w:val="16"/>
        <w:szCs w:val="16"/>
      </w:rPr>
      <w:t xml:space="preserve">	Friday, 3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4B7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0b16bfe5fe19965557631a1868a3b33cc06ac2.png"/><Relationship Id="rId10" Type="http://schemas.openxmlformats.org/officeDocument/2006/relationships/image" Target="media/e81a8c7b27b1b2ce1e4d609055ccc3cc866ecc78.png"/><Relationship Id="rId11" Type="http://schemas.openxmlformats.org/officeDocument/2006/relationships/image" Target="media/89b05f7ca6c6c9b7bcbf698280471d70d6c4f69f.png"/><Relationship Id="rId12" Type="http://schemas.openxmlformats.org/officeDocument/2006/relationships/image" Target="media/bd331c461e2bc723b11dd66afaca36713e2072ab.png"/><Relationship Id="rId13" Type="http://schemas.openxmlformats.org/officeDocument/2006/relationships/image" Target="media/f8172d8108ff74c4d3bf170c40c261b34da13cc6.png"/><Relationship Id="rId14" Type="http://schemas.openxmlformats.org/officeDocument/2006/relationships/image" Target="media/29b7a2c05710fd39406e2e90adc51532f1bdff2c.png"/><Relationship Id="rId15" Type="http://schemas.openxmlformats.org/officeDocument/2006/relationships/image" Target="media/3acf8266b24cf98fd02414bb8688dbeb0f5e21dc.png"/><Relationship Id="rId16" Type="http://schemas.openxmlformats.org/officeDocument/2006/relationships/image" Target="media/7ea55952a52bf9bfadc825c21c33aec39512f5d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2026-07-03T14:57:47.090Z</dcterms:created>
  <dcterms:modified xsi:type="dcterms:W3CDTF">2026-07-03T14:57:47.090Z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