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64"/>
      </w:pPr>
      <w:r>
        <w:rPr>
          <w:b/>
          <w:bCs/>
          <w:sz w:val="38"/>
          <w:szCs w:val="38"/>
        </w:rPr>
        <w:t xml:space="preserve">Did we tune this strategy to the past?</w:t>
      </w:r>
    </w:p>
    <w:p>
      <w:pPr>
        <w:spacing w:after="30" w:line="264"/>
      </w:pPr>
      <w:r>
        <w:rPr>
          <w:sz w:val="23"/>
          <w:szCs w:val="23"/>
        </w:rPr>
        <w:t xml:space="preserve">Settings review of the four-book ETF rotation strategy — plain-language summary</w:t>
      </w:r>
    </w:p>
    <w:p>
      <w:pPr>
        <w:spacing w:after="160" w:line="264"/>
      </w:pPr>
      <w:r>
        <w:rPr>
          <w:color w:val="555555"/>
          <w:sz w:val="19"/>
          <w:szCs w:val="19"/>
        </w:rPr>
        <w:t xml:space="preserve">Friday, 3 July 2026 · summary of the review conducted on 2 July 2026</w:t>
      </w:r>
    </w:p>
    <w:p>
      <w:pPr>
        <w:pBdr>
          <w:bottom w:val="single" w:color="1F3864" w:sz="8" w:space="1"/>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BFBFBF" w:sz="1"/>
              <w:left w:val="single" w:color="BFBFBF" w:sz="1"/>
              <w:bottom w:val="single" w:color="BFBFBF" w:sz="1"/>
              <w:right w:val="single" w:color="BFBFBF" w:sz="1"/>
            </w:tcBorders>
            <w:shd w:fill="E8EEF4" w:val="clear"/>
            <w:tcMar>
              <w:top w:type="dxa" w:w="70"/>
              <w:left w:type="dxa" w:w="120"/>
              <w:bottom w:type="dxa" w:w="70"/>
              <w:right w:type="dxa" w:w="120"/>
            </w:tcMar>
          </w:tcPr>
          <w:p>
            <w:pPr>
              <w:spacing w:line="252"/>
            </w:pPr>
            <w:r>
              <w:rPr>
                <w:b/>
                <w:bCs/>
                <w:sz w:val="21"/>
                <w:szCs w:val="21"/>
              </w:rPr>
              <w:t xml:space="preserve">The questions</w:t>
            </w:r>
          </w:p>
        </w:tc>
        <w:tc>
          <w:tcPr>
            <w:tcW w:type="dxa" w:w="6926"/>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line="252"/>
            </w:pPr>
            <w:r>
              <w:rPr>
                <w:b w:val="false"/>
                <w:bCs w:val="false"/>
                <w:sz w:val="21"/>
                <w:szCs w:val="21"/>
              </w:rPr>
              <w:t xml:space="preserve">The strategy was built by trial and error on 2018-2026 data. Two questions follow: are any of its settings fitted to the past rather than genuinely robust — and is a better setting being left on the table?</w:t>
            </w:r>
          </w:p>
        </w:tc>
      </w:tr>
      <w:tr>
        <w:tc>
          <w:tcPr>
            <w:tcW w:type="dxa" w:w="2100"/>
            <w:tcBorders>
              <w:top w:val="single" w:color="BFBFBF" w:sz="1"/>
              <w:left w:val="single" w:color="BFBFBF" w:sz="1"/>
              <w:bottom w:val="single" w:color="BFBFBF" w:sz="1"/>
              <w:right w:val="single" w:color="BFBFBF" w:sz="1"/>
            </w:tcBorders>
            <w:shd w:fill="E8EEF4" w:val="clear"/>
            <w:tcMar>
              <w:top w:type="dxa" w:w="70"/>
              <w:left w:type="dxa" w:w="120"/>
              <w:bottom w:type="dxa" w:w="70"/>
              <w:right w:type="dxa" w:w="120"/>
            </w:tcMar>
          </w:tcPr>
          <w:p>
            <w:pPr>
              <w:spacing w:line="252"/>
            </w:pPr>
            <w:r>
              <w:rPr>
                <w:b/>
                <w:bCs/>
                <w:sz w:val="21"/>
                <w:szCs w:val="21"/>
              </w:rPr>
              <w:t xml:space="preserve">The answers</w:t>
            </w:r>
          </w:p>
        </w:tc>
        <w:tc>
          <w:tcPr>
            <w:tcW w:type="dxa" w:w="6926"/>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line="252"/>
            </w:pPr>
            <w:r>
              <w:rPr>
                <w:b w:val="false"/>
                <w:bCs w:val="false"/>
                <w:sz w:val="21"/>
                <w:szCs w:val="21"/>
              </w:rPr>
              <w:t xml:space="preserve">No and no. Every setting sits in a broad stable range; all ~139 tested 'improvements' did worse on data the models had never seen; and the best rival setting is statistically indistinguishable from the current one — its apparent edge would need about two more decades of data to be confirmed, and no real-time process captures it.</w:t>
            </w:r>
          </w:p>
        </w:tc>
      </w:tr>
      <w:tr>
        <w:tc>
          <w:tcPr>
            <w:tcW w:type="dxa" w:w="2100"/>
            <w:tcBorders>
              <w:top w:val="single" w:color="BFBFBF" w:sz="1"/>
              <w:left w:val="single" w:color="BFBFBF" w:sz="1"/>
              <w:bottom w:val="single" w:color="BFBFBF" w:sz="1"/>
              <w:right w:val="single" w:color="BFBFBF" w:sz="1"/>
            </w:tcBorders>
            <w:shd w:fill="E8EEF4" w:val="clear"/>
            <w:tcMar>
              <w:top w:type="dxa" w:w="70"/>
              <w:left w:type="dxa" w:w="120"/>
              <w:bottom w:type="dxa" w:w="70"/>
              <w:right w:type="dxa" w:w="120"/>
            </w:tcMar>
          </w:tcPr>
          <w:p>
            <w:pPr>
              <w:spacing w:line="252"/>
            </w:pPr>
            <w:r>
              <w:rPr>
                <w:b/>
                <w:bCs/>
                <w:sz w:val="21"/>
                <w:szCs w:val="21"/>
              </w:rPr>
              <w:t xml:space="preserve">How it was tested</w:t>
            </w:r>
          </w:p>
        </w:tc>
        <w:tc>
          <w:tcPr>
            <w:tcW w:type="dxa" w:w="6926"/>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line="252"/>
            </w:pPr>
            <w:r>
              <w:rPr>
                <w:b w:val="false"/>
                <w:bCs w:val="false"/>
                <w:sz w:val="21"/>
                <w:szCs w:val="21"/>
              </w:rPr>
              <w:t xml:space="preserve">Fixed 7.6-year window, realistic costs (re-tested at double), and everything after September 2022 held out as an honest exam.</w:t>
            </w:r>
          </w:p>
        </w:tc>
      </w:tr>
    </w:tbl>
    <w:p>
      <w:pPr>
        <w:spacing w:after="80" w:line="264"/>
      </w:pPr>
      <w:r>
        <w:t xml:space="preserve"/>
      </w:r>
    </w:p>
    <w:p>
      <w:pPr>
        <w:spacing w:after="110" w:before="30"/>
        <w:jc w:val="center"/>
      </w:pPr>
      <w:r>
        <w:drawing>
          <wp:inline distT="0" distB="0" distL="0" distR="0">
            <wp:extent cx="5524500" cy="1866900"/>
            <wp:effectExtent t="0" r="0" b="0" l="0"/>
            <wp:docPr id="1" name="ws1_sum_structure.png" descr="One portfolio of four rotation books with weights, plus two safety mechanisms" title="One portfolio of four rotation books with weights, plus two safety mechan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866900"/>
                    </a:xfrm>
                    <a:prstGeom prst="rect">
                      <a:avLst/>
                    </a:prstGeom>
                  </pic:spPr>
                </pic:pic>
              </a:graphicData>
            </a:graphic>
          </wp:inline>
        </w:drawing>
      </w:r>
    </w:p>
    <w:p>
      <w:pPr>
        <w:keepNext/>
        <w:spacing w:after="40" w:line="264"/>
      </w:pPr>
      <w:r>
        <w:rPr>
          <w:b/>
          <w:bCs/>
          <w:sz w:val="24"/>
          <w:szCs w:val="24"/>
        </w:rPr>
        <w:t xml:space="preserve">1. The ten-month trend measure is the right speed — and it is not a lucky number.</w:t>
      </w:r>
    </w:p>
    <w:p>
      <w:pPr>
        <w:keepNext/>
        <w:spacing w:after="40" w:line="264"/>
      </w:pPr>
      <w:r>
        <w:rPr>
          <w:color w:val="444444"/>
        </w:rPr>
        <w:t xml:space="preserve">Thirteen speeds were tested from one month to fifteen months. Fast settings were whipsawed in the choppy 2022 market; from about ten months onward every setting performs the same within the margin of error. The strategy uses the fast edge of that flat zone — the most responsive setting that still captures the full benefit.</w:t>
      </w:r>
    </w:p>
    <w:p>
      <w:pPr>
        <w:spacing w:after="110" w:before="30"/>
        <w:jc w:val="center"/>
      </w:pPr>
      <w:r>
        <w:drawing>
          <wp:inline distT="0" distB="0" distL="0" distR="0">
            <wp:extent cx="5524500" cy="2628900"/>
            <wp:effectExtent t="0" r="0" b="0" l="0"/>
            <wp:docPr id="1" name="ws1_blend_surface_simple.png" descr="Risk-adjusted return versus trend length: a wide flat zone from ~10 months, with the current setting at its fast edge" title="Risk-adjusted return versus trend length: a wide flat zone from ~10 months, with the current setting at its fas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628900"/>
                    </a:xfrm>
                    <a:prstGeom prst="rect">
                      <a:avLst/>
                    </a:prstGeom>
                  </pic:spPr>
                </pic:pic>
              </a:graphicData>
            </a:graphic>
          </wp:inline>
        </w:drawing>
      </w:r>
    </w:p>
    <w:p>
      <w:pPr>
        <w:spacing w:after="150" w:line="264"/>
      </w:pPr>
      <w:r>
        <w:rPr>
          <w:i/>
          <w:iCs/>
          <w:color w:val="666666"/>
          <w:sz w:val="18"/>
          <w:szCs w:val="18"/>
        </w:rPr>
        <w:t xml:space="preserve">Risk-adjusted return = Sharpe ratio (return per unit of volatility; higher is better; differences under ~0.4 here are statistical noise). The green band is the flat zone — every setting inside it is statistically tied. The highest backtest point (275 days) leads the current setting by only +0.8%/yr, one standard error from zero; and finding 2 shows that trying to move to it would have lost money on unseen data. So the strategy sits at the fast edge of the flat zone by design, not below a better setting.</w:t>
      </w:r>
    </w:p>
    <w:p>
      <w:pPr>
        <w:keepNext/>
        <w:spacing w:after="40" w:line="264"/>
      </w:pPr>
      <w:r>
        <w:rPr>
          <w:b/>
          <w:bCs/>
          <w:sz w:val="24"/>
          <w:szCs w:val="24"/>
        </w:rPr>
        <w:t xml:space="preserve">2. Leaving the setting alone beats re-tuning it.</w:t>
      </w:r>
    </w:p>
    <w:p>
      <w:pPr>
        <w:keepNext/>
        <w:spacing w:after="40" w:line="264"/>
      </w:pPr>
      <w:r>
        <w:rPr>
          <w:color w:val="444444"/>
        </w:rPr>
        <w:t xml:space="preserve">A manager who re-tunes the trend speed every January — using only information available at the time — finishes behind the one who never touches it. Discipline beats optimisation.</w:t>
      </w:r>
    </w:p>
    <w:p>
      <w:pPr>
        <w:spacing w:after="110" w:before="30"/>
        <w:jc w:val="center"/>
      </w:pPr>
      <w:r>
        <w:drawing>
          <wp:inline distT="0" distB="0" distL="0" distR="0">
            <wp:extent cx="5524500" cy="1590675"/>
            <wp:effectExtent t="0" r="0" b="0" l="0"/>
            <wp:docPr id="1" name="ws1_sum_retuning.png" descr="Re-tuning the trend speed yearly earned less than leaving the deployed setting alone" title="Re-tuning the trend speed yearly earned less than leaving the deployed setting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590675"/>
                    </a:xfrm>
                    <a:prstGeom prst="rect">
                      <a:avLst/>
                    </a:prstGeom>
                  </pic:spPr>
                </pic:pic>
              </a:graphicData>
            </a:graphic>
          </wp:inline>
        </w:drawing>
      </w:r>
    </w:p>
    <w:p>
      <w:pPr>
        <w:keepNext/>
        <w:spacing w:after="40" w:line="264"/>
      </w:pPr>
      <w:r>
        <w:rPr>
          <w:b/>
          <w:bCs/>
          <w:sz w:val="24"/>
          <w:szCs w:val="24"/>
        </w:rPr>
        <w:t xml:space="preserve">3. The main proposed upgrade — a volatility-adjusted signal — made it worse, not better.</w:t>
      </w:r>
    </w:p>
    <w:p>
      <w:pPr>
        <w:keepNext/>
        <w:spacing w:after="40" w:line="264"/>
      </w:pPr>
      <w:r>
        <w:rPr>
          <w:color w:val="444444"/>
        </w:rPr>
        <w:t xml:space="preserve">The headline idea for improving the strategy was to adjust each holding's trend reading by how volatile it is, so one setting could fit calm bonds and wild crypto alike. It backfired: it shrinks the signal on exactly the strongest, most volatile trends the strategy should ride, cutting risk-adjusted return from 1.20 to 0.89 when applied across all four books — and it lowered every book individually. None of the seventeen sophisticated variants tried (volatility-adjustment, blends of several trend speeds) beat the simple signal on unseen data.</w:t>
      </w:r>
    </w:p>
    <w:p>
      <w:pPr>
        <w:spacing w:after="110" w:before="30"/>
        <w:jc w:val="center"/>
      </w:pPr>
      <w:r>
        <w:drawing>
          <wp:inline distT="0" distB="0" distL="0" distR="0">
            <wp:extent cx="5524500" cy="1304925"/>
            <wp:effectExtent t="0" r="0" b="0" l="0"/>
            <wp:docPr id="1" name="ws1_sum_smarter.png" descr="The volatility-adjusted, multi-speed signal scored 0.89 versus 1.20 for the deployed simple signal" title="The volatility-adjusted, multi-speed signal scored 0.89 versus 1.20 for the deployed simple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304925"/>
                    </a:xfrm>
                    <a:prstGeom prst="rect">
                      <a:avLst/>
                    </a:prstGeom>
                  </pic:spPr>
                </pic:pic>
              </a:graphicData>
            </a:graphic>
          </wp:inline>
        </w:drawing>
      </w:r>
    </w:p>
    <w:p>
      <w:pPr>
        <w:keepNext/>
        <w:spacing w:after="40" w:line="264"/>
      </w:pPr>
      <w:r>
        <w:rPr>
          <w:b/>
          <w:bCs/>
          <w:sz w:val="24"/>
          <w:szCs w:val="24"/>
        </w:rPr>
        <w:t xml:space="preserve">4. The safety brake is robust, not lucky — a long-standing caveat is retired.</w:t>
      </w:r>
    </w:p>
    <w:p>
      <w:pPr>
        <w:keepNext/>
        <w:spacing w:after="40" w:line="264"/>
      </w:pPr>
      <w:r>
        <w:rPr>
          <w:color w:val="444444"/>
        </w:rPr>
        <w:t xml:space="preserve">Its trigger levels came from a small search, which fairly raised an overfitting concern: all 25 sensible combinations were tested and every one improved both return and worst loss.</w:t>
      </w:r>
    </w:p>
    <w:p>
      <w:pPr>
        <w:spacing w:after="110" w:before="30"/>
        <w:jc w:val="center"/>
      </w:pPr>
      <w:r>
        <w:drawing>
          <wp:inline distT="0" distB="0" distL="0" distR="0">
            <wp:extent cx="5524500" cy="1581150"/>
            <wp:effectExtent t="0" r="0" b="0" l="0"/>
            <wp:docPr id="1" name="ws1_sum_brake.png" descr="The market-breadth brake improves risk-adjusted return and worst loss at every trigger setting tested" title="The market-breadth brake improves risk-adjusted return and worst loss at every trigger setting te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581150"/>
                    </a:xfrm>
                    <a:prstGeom prst="rect">
                      <a:avLst/>
                    </a:prstGeom>
                  </pic:spPr>
                </pic:pic>
              </a:graphicData>
            </a:graphic>
          </wp:inline>
        </w:drawing>
      </w:r>
    </w:p>
    <w:p>
      <w:pPr>
        <w:keepNext/>
        <w:spacing w:after="40" w:line="264"/>
      </w:pPr>
      <w:r>
        <w:rPr>
          <w:b/>
          <w:bCs/>
          <w:sz w:val="24"/>
          <w:szCs w:val="24"/>
        </w:rPr>
        <w:t xml:space="preserve">5. The one tempting change was declined.</w:t>
      </w:r>
    </w:p>
    <w:p>
      <w:pPr>
        <w:keepNext/>
        <w:spacing w:after="40" w:line="264"/>
      </w:pPr>
      <w:r>
        <w:rPr>
          <w:color w:val="444444"/>
        </w:rPr>
        <w:t xml:space="preserve">Removing the thematic book's +5% entry hurdle lifts returns on unseen data but deepens that book's worst loss, all of it in 2022. The hurdle stays; the thematic book is on formal watch.</w:t>
      </w:r>
    </w:p>
    <w:p>
      <w:pPr>
        <w:spacing w:after="110" w:before="30"/>
        <w:jc w:val="center"/>
      </w:pPr>
      <w:r>
        <w:drawing>
          <wp:inline distT="0" distB="0" distL="0" distR="0">
            <wp:extent cx="5524500" cy="1676400"/>
            <wp:effectExtent t="0" r="0" b="0" l="0"/>
            <wp:docPr id="1" name="ws1_sum_thematic.png" descr="Removing the thematic entry hurdle improves return but unacceptably deepens worst loss" title="Removing the thematic entry hurdle improves return but unacceptably deepens worst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676400"/>
                    </a:xfrm>
                    <a:prstGeom prst="rect">
                      <a:avLst/>
                    </a:prstGeom>
                  </pic:spPr>
                </pic:pic>
              </a:graphicData>
            </a:graphic>
          </wp:inline>
        </w:drawing>
      </w:r>
    </w:p>
    <w:p>
      <w:pPr>
        <w:pStyle w:val="Heading1"/>
      </w:pPr>
      <w:r>
        <w:t xml:space="preserve">What an allocator should take away</w:t>
      </w:r>
    </w:p>
    <w:p>
      <w:pPr>
        <w:pStyle w:val="ListParagraph"/>
        <w:numPr>
          <w:ilvl w:val="0"/>
          <w:numId w:val="2"/>
        </w:numPr>
        <w:spacing w:after="90" w:line="264"/>
      </w:pPr>
      <w:r>
        <w:t xml:space="preserve">Performance nowhere depends on a finely-tuned number — the review actively tried to find one and failed.</w:t>
      </w:r>
    </w:p>
    <w:p>
      <w:pPr>
        <w:pStyle w:val="ListParagraph"/>
        <w:numPr>
          <w:ilvl w:val="0"/>
          <w:numId w:val="2"/>
        </w:numPr>
        <w:spacing w:after="90" w:line="264"/>
      </w:pPr>
      <w:r>
        <w:t xml:space="preserve">Every attempt to be cleverer than the deployed version lost on unseen data; the strategy has earned its simplicity.</w:t>
      </w:r>
    </w:p>
    <w:p>
      <w:pPr>
        <w:pStyle w:val="ListParagraph"/>
        <w:numPr>
          <w:ilvl w:val="0"/>
          <w:numId w:val="2"/>
        </w:numPr>
        <w:spacing w:after="90" w:line="264"/>
      </w:pPr>
      <w:r>
        <w:t xml:space="preserve">The honest remaining risks are not settings: the thematic book is the weakest component (on watch), the history is only 7.6 years, and every figure is a backtest, not a live track record.</w:t>
      </w:r>
    </w:p>
    <w:p>
      <w:pPr>
        <w:pStyle w:val="Heading1"/>
        <w:pageBreakBefore/>
      </w:pPr>
      <w:r>
        <w:t xml:space="preserve">Appendix — the work behind the summary</w:t>
      </w:r>
    </w:p>
    <w:p>
      <w:pPr>
        <w:spacing w:after="160" w:line="264"/>
      </w:pPr>
      <w:r>
        <w:rPr>
          <w:color w:val="444444"/>
          <w:sz w:val="20"/>
          <w:szCs w:val="20"/>
        </w:rPr>
        <w:t xml:space="preserve">These are the working charts behind the five findings, included to show the depth of testing. The labels are technical — the shapes and colours carry the message, and each caption says what to look for. The four books are US sectors (A), global asset classes (B), thematics (C) and European sectors (D).</w:t>
      </w:r>
    </w:p>
    <w:p>
      <w:pPr>
        <w:keepNext/>
        <w:spacing w:after="40" w:line="264"/>
      </w:pPr>
      <w:r>
        <w:rPr>
          <w:b/>
          <w:bCs/>
          <w:sz w:val="23"/>
          <w:szCs w:val="23"/>
        </w:rPr>
        <w:t xml:space="preserve">A1. Everything that was tested.</w:t>
      </w:r>
    </w:p>
    <w:p>
      <w:pPr>
        <w:spacing w:after="110" w:before="30"/>
        <w:jc w:val="center"/>
      </w:pPr>
      <w:r>
        <w:drawing>
          <wp:inline distT="0" distB="0" distL="0" distR="0">
            <wp:extent cx="5715000" cy="2438400"/>
            <wp:effectExtent t="0" r="0" b="0" l="0"/>
            <wp:docPr id="1" name="ws1_sum_scope.png" descr="141 settings combinations tested across seven categories, zero changes made" title="141 settings combinations tested across seven categories, zero changes m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38400"/>
                    </a:xfrm>
                    <a:prstGeom prst="rect">
                      <a:avLst/>
                    </a:prstGeom>
                  </pic:spPr>
                </pic:pic>
              </a:graphicData>
            </a:graphic>
          </wp:inline>
        </w:drawing>
      </w:r>
    </w:p>
    <w:p>
      <w:pPr>
        <w:spacing w:after="200" w:line="264"/>
      </w:pPr>
      <w:r>
        <w:rPr>
          <w:i/>
          <w:iCs/>
          <w:color w:val="666666"/>
          <w:sz w:val="18"/>
          <w:szCs w:val="18"/>
        </w:rPr>
        <w:t xml:space="preserve">Every important setting was swept across a grid of alternatives. No test produced a change worth making; two close calls were carried to the final robustness review.</w:t>
      </w:r>
    </w:p>
    <w:p>
      <w:pPr>
        <w:keepNext/>
        <w:spacing w:after="40" w:line="264"/>
      </w:pPr>
      <w:r>
        <w:rPr>
          <w:b/>
          <w:bCs/>
          <w:sz w:val="23"/>
          <w:szCs w:val="23"/>
        </w:rPr>
        <w:t xml:space="preserve">A2. The trend-length test, in full.</w:t>
      </w:r>
    </w:p>
    <w:p>
      <w:pPr>
        <w:spacing w:after="110" w:before="30"/>
        <w:jc w:val="center"/>
      </w:pPr>
      <w:r>
        <w:drawing>
          <wp:inline distT="0" distB="0" distL="0" distR="0">
            <wp:extent cx="5715000" cy="2990850"/>
            <wp:effectExtent t="0" r="0" b="0" l="0"/>
            <wp:docPr id="1" name="ws1_ma_surface_summary.png" descr="Risk-adjusted return versus trend length for each of the four books and the whole portfolio, on the full window and both halves" title="Risk-adjusted return versus trend length for each of the four books and the whole portfolio, on the full window and both h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90850"/>
                    </a:xfrm>
                    <a:prstGeom prst="rect">
                      <a:avLst/>
                    </a:prstGeom>
                  </pic:spPr>
                </pic:pic>
              </a:graphicData>
            </a:graphic>
          </wp:inline>
        </w:drawing>
      </w:r>
    </w:p>
    <w:p>
      <w:pPr>
        <w:spacing w:after="200" w:line="264"/>
      </w:pPr>
      <w:r>
        <w:rPr>
          <w:i/>
          <w:iCs/>
          <w:color w:val="666666"/>
          <w:sz w:val="18"/>
          <w:szCs w:val="18"/>
        </w:rPr>
        <w:t xml:space="preserve">The same result holds book by book, and on both the first and second halves of history (the two lighter lines in each panel) — not just for the portfolio overall. The green flat zone (≈10 months and slower) is where settings are statistically tied; the current setting is the dashed line at its fast edge. The heatmap (bottom right) makes the point at a glance: the whole flat zone is green for every book.</w:t>
      </w:r>
    </w:p>
    <w:p>
      <w:pPr>
        <w:keepNext/>
        <w:spacing w:after="40" w:line="264"/>
      </w:pPr>
      <w:r>
        <w:rPr>
          <w:b/>
          <w:bCs/>
          <w:sz w:val="23"/>
          <w:szCs w:val="23"/>
        </w:rPr>
        <w:t xml:space="preserve">A3. The same question, asked of losses.</w:t>
      </w:r>
    </w:p>
    <w:p>
      <w:pPr>
        <w:spacing w:after="110" w:before="30"/>
        <w:jc w:val="center"/>
      </w:pPr>
      <w:r>
        <w:drawing>
          <wp:inline distT="0" distB="0" distL="0" distR="0">
            <wp:extent cx="5715000" cy="1981200"/>
            <wp:effectExtent t="0" r="0" b="0" l="0"/>
            <wp:docPr id="1" name="ws1_ma_dd_surface.png" descr="Portfolio drawdown measures versus trend length" title="Portfolio drawdown measures versus trend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81200"/>
                    </a:xfrm>
                    <a:prstGeom prst="rect">
                      <a:avLst/>
                    </a:prstGeom>
                  </pic:spPr>
                </pic:pic>
              </a:graphicData>
            </a:graphic>
          </wp:inline>
        </w:drawing>
      </w:r>
    </w:p>
    <w:p>
      <w:pPr>
        <w:spacing w:after="200" w:line="264"/>
      </w:pPr>
      <w:r>
        <w:rPr>
          <w:i/>
          <w:iCs/>
          <w:color w:val="666666"/>
          <w:sz w:val="18"/>
          <w:szCs w:val="18"/>
        </w:rPr>
        <w:t xml:space="preserve">Worst 12-month loss and the depth of the 2022 drawdown both improve as the trend measure slows. The deepest single loss — the 2020 COVID crash — is the same at every setting, because no trend measure is fast enough to dodge a one-month crash. That is the safety brake's job, not the trend dial's.</w:t>
      </w:r>
    </w:p>
    <w:p>
      <w:pPr>
        <w:keepNext/>
        <w:spacing w:after="40" w:line="264"/>
      </w:pPr>
      <w:r>
        <w:rPr>
          <w:b/>
          <w:bCs/>
          <w:sz w:val="23"/>
          <w:szCs w:val="23"/>
        </w:rPr>
        <w:t xml:space="preserve">A4. The two safety dials, fully mapped.</w:t>
      </w:r>
    </w:p>
    <w:p>
      <w:pPr>
        <w:spacing w:after="40" w:line="264"/>
      </w:pPr>
      <w:r>
        <w:rPr>
          <w:color w:val="444444"/>
          <w:sz w:val="20"/>
          <w:szCs w:val="20"/>
        </w:rPr>
        <w:t xml:space="preserve">For each dial, the left panel is the first half of history (the data the settings were designed on) and the right panel is the second half (unseen). Both use one green scale — green means strong risk-adjusted return — so a setting that is bright green on the left but fades on the right looked good only because it was fitted to the past.</w:t>
      </w:r>
    </w:p>
    <w:p>
      <w:pPr>
        <w:spacing w:after="110" w:before="30"/>
        <w:jc w:val="center"/>
      </w:pPr>
      <w:r>
        <w:drawing>
          <wp:inline distT="0" distB="0" distL="0" distR="0">
            <wp:extent cx="5715000" cy="1066800"/>
            <wp:effectExtent t="0" r="0" b="0" l="0"/>
            <wp:docPr id="1" name="ws1_threshold_hurdle.png" descr="Thematic entry hurdle — first half (in-sample) beside second half (out-of-sample)" title="Thematic entry hurdle — first half (in-sample) beside second half (out-of-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066800"/>
                    </a:xfrm>
                    <a:prstGeom prst="rect">
                      <a:avLst/>
                    </a:prstGeom>
                  </pic:spPr>
                </pic:pic>
              </a:graphicData>
            </a:graphic>
          </wp:inline>
        </w:drawing>
      </w:r>
    </w:p>
    <w:p>
      <w:pPr>
        <w:spacing w:after="140" w:line="264"/>
      </w:pPr>
      <w:r>
        <w:rPr>
          <w:i/>
          <w:iCs/>
          <w:color w:val="666666"/>
          <w:sz w:val="18"/>
          <w:szCs w:val="18"/>
        </w:rPr>
        <w:t xml:space="preserve">The high-trigger cells (right side of each panel) are bright green in-sample and fade to orange out of sample — fitted to the past, so they are not chosen. The deployed cell (outlined) keeps its colour across both halves. Removing the +5% hurdle (top row) also holds up out of sample; it was declined on drawdown (worst loss −36% to −48%, all in 2022), the single flagged item for the final review.</w:t>
      </w:r>
    </w:p>
    <w:p>
      <w:pPr>
        <w:spacing w:after="110" w:before="30"/>
        <w:jc w:val="center"/>
      </w:pPr>
      <w:r>
        <w:drawing>
          <wp:inline distT="0" distB="0" distL="0" distR="0">
            <wp:extent cx="5715000" cy="1476375"/>
            <wp:effectExtent t="0" r="0" b="0" l="0"/>
            <wp:docPr id="1" name="ws1_threshold_brake.png" descr="Market-breadth brake — first half (in-sample) beside second half (out-of-sample)" title="Market-breadth brake — first half (in-sample) beside second half (out-of-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476375"/>
                    </a:xfrm>
                    <a:prstGeom prst="rect">
                      <a:avLst/>
                    </a:prstGeom>
                  </pic:spPr>
                </pic:pic>
              </a:graphicData>
            </a:graphic>
          </wp:inline>
        </w:drawing>
      </w:r>
    </w:p>
    <w:p>
      <w:pPr>
        <w:spacing w:after="120" w:line="264"/>
      </w:pPr>
      <w:r>
        <w:rPr>
          <w:i/>
          <w:iCs/>
          <w:color w:val="666666"/>
          <w:sz w:val="18"/>
          <w:szCs w:val="18"/>
        </w:rPr>
        <w:t xml:space="preserve">Both halves are solid green — every trigger setting is strong and holds up out of sample — so the surface is robust and the small gaps between cells are noise. The deployed +1.41 is a strong reading; the deployed levels (outlined) de-risk on a genuine breadth collapse.</w:t>
      </w:r>
    </w:p>
    <w:p>
      <w:pPr>
        <w:spacing w:after="160" w:line="264"/>
      </w:pPr>
      <w:r>
        <w:rPr>
          <w:b/>
          <w:bCs/>
          <w:sz w:val="21"/>
          <w:szCs w:val="21"/>
        </w:rPr>
        <w:t xml:space="preserve">The wider programme.</w:t>
      </w:r>
      <w:r>
        <w:rPr>
          <w:color w:val="444444"/>
          <w:sz w:val="20"/>
          <w:szCs w:val="20"/>
        </w:rPr>
        <w:t xml:space="preserve">  This review covered the strategy's settings. Two further reviews — the fund universe (which holdings to include) and an overall robustness haircut across the whole search history — were completed separately and have their own records.</w:t>
      </w:r>
    </w:p>
    <w:p>
      <w:pPr>
        <w:spacing w:after="60" w:line="264"/>
      </w:pPr>
      <w:r>
        <w:t xml:space="preserve"/>
      </w:r>
    </w:p>
    <w:p>
      <w:pPr>
        <w:spacing w:after="120" w:line="264"/>
      </w:pPr>
      <w:r>
        <w:rPr>
          <w:i/>
          <w:iCs/>
          <w:color w:val="777777"/>
          <w:sz w:val="17"/>
          <w:szCs w:val="17"/>
        </w:rPr>
        <w:t xml:space="preserve">Document of record: reviews/2026-07-02_ws0-ws1_ma-robustness.docx (full methodology, tables and audit trail). Personal research artefact; all figures are simulated backtests in USD, net of stated costs; nothing here is investment advice.</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Rotation strategy — settings review, plain-language summary</w:t>
    </w:r>
    <w:r>
      <w:rPr>
        <w:color w:val="808080"/>
        <w:sz w:val="16"/>
        <w:szCs w:val="16"/>
      </w:rPr>
      <w:t xml:space="preserve">	3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b87a37b312c92ce56dfa721d043ac023d14c51.png"/><Relationship Id="rId10" Type="http://schemas.openxmlformats.org/officeDocument/2006/relationships/image" Target="media/3d9753cc747a7ca698bb94377431dc2f69f71129.png"/><Relationship Id="rId11" Type="http://schemas.openxmlformats.org/officeDocument/2006/relationships/image" Target="media/40a976a8bc4aa4540782ee4b2e25e5fd2ee5ecbb.png"/><Relationship Id="rId12" Type="http://schemas.openxmlformats.org/officeDocument/2006/relationships/image" Target="media/2da07713be64cf777d2566588981608bce756648.png"/><Relationship Id="rId13" Type="http://schemas.openxmlformats.org/officeDocument/2006/relationships/image" Target="media/f27e0ca99989ae2d17f9d7b36eaa86820068b664.png"/><Relationship Id="rId14" Type="http://schemas.openxmlformats.org/officeDocument/2006/relationships/image" Target="media/51a910e4bbc4ca53baedbff61435d73fc6400ac3.png"/><Relationship Id="rId15" Type="http://schemas.openxmlformats.org/officeDocument/2006/relationships/image" Target="media/becea04264463f49bda16866bf18a0f8d1a2b7b2.png"/><Relationship Id="rId16" Type="http://schemas.openxmlformats.org/officeDocument/2006/relationships/image" Target="media/06964be9d6f758ca946e27ad6c6b65b6cf2954fc.png"/><Relationship Id="rId17" Type="http://schemas.openxmlformats.org/officeDocument/2006/relationships/image" Target="media/23d737eeed8a4469155e2a5aacc828210104c3b8.png"/><Relationship Id="rId18" Type="http://schemas.openxmlformats.org/officeDocument/2006/relationships/image" Target="media/fb2f264f9ce9c246c038400947cf99ef2cc90fe4.png"/><Relationship Id="rId19" Type="http://schemas.openxmlformats.org/officeDocument/2006/relationships/image" Target="media/30d3f76c2d85f8e6583359f261c42b9231843a7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2026-07-03T07:12:04.287Z</dcterms:created>
  <dcterms:modified xsi:type="dcterms:W3CDTF">2026-07-03T07:12:04.287Z</dcterms:modified>
</cp:coreProperties>
</file>

<file path=docProps/custom.xml><?xml version="1.0" encoding="utf-8"?>
<Properties xmlns="http://schemas.openxmlformats.org/officeDocument/2006/custom-properties" xmlns:vt="http://schemas.openxmlformats.org/officeDocument/2006/docPropsVTypes"/>
</file>