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sz w:val="40"/>
          <w:szCs w:val="40"/>
        </w:rPr>
        <w:t xml:space="preserve">Buy the Dip — full-history evaluation record</w:t>
      </w:r>
    </w:p>
    <w:p>
      <w:pPr>
        <w:spacing w:after="60" w:before="0"/>
      </w:pPr>
      <w:r>
        <w:rPr>
          <w:sz w:val="24"/>
          <w:szCs w:val="24"/>
        </w:rPr>
        <w:t xml:space="preserve">Phase 1 anchor replication · Phase 2b design and validation · Phase 3b replication</w:t>
      </w:r>
    </w:p>
    <w:p>
      <w:pPr>
        <w:spacing w:after="200" w:before="0"/>
      </w:pPr>
      <w:r>
        <w:rPr>
          <w:color w:val="555555"/>
          <w:sz w:val="20"/>
          <w:szCs w:val="20"/>
        </w:rPr>
        <w:t xml:space="preserve">Saturday, 4 July 2026</w:t>
      </w:r>
    </w:p>
    <w:p>
      <w:pPr>
        <w:pBdr>
          <w:bottom w:val="single" w:color="1F3864" w:sz="8" w:space="1"/>
        </w:pBdr>
        <w:spacing w:after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Project / context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buy-the-dip (Personal). CrackingMarkets strategy-family reconstruction on Norgate full-depth data (Platinum active 2026-07-04, term to 2027-01-04).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Review scope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Post-subscription runbook steps 0-3; Phase 1 anchor replication; Phase 2b design battery and single validation pass; Phase 3b design battery, full-window replication and anchor-miss investigation.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Evaluation windows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Phase 1: 2000-01 to 2024-09 (anchor) and to 2026-07 (record). Phase 2b: design 2000-2017, validation 2018 to 2026-07, executed once. Phase 3b: design 1994-2017, source window 1994 to 2025-01, record to 2026-07.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Data basis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Norgate point-in-time index constituency with delisted securities (SPX universe 1,299 names, NDX 479; both set-identical to vendor watchlists). TOTALRETURN series for signals and fills; unadjusted series for absolute price screens.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Method basis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Pre-registered designs PHASE2_DESIGN.md / PHASE3_DESIGN.md (frozen 2026-07-03, before full-history data existed); positional exits; costs 7 bps per side in the portfolio engines; baseline costless to match the published anchor.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Repository commits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736a732 (engine controls, pre-approval) · c20735f (results, records, dashboard).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Running memo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RESEARCH_MEMO.md (project root).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Outcome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Phase 1 PASS. Phase 2b validation gates NOT MET — weekly variant not taken forward. Phase 3b anchors not replicated within tolerances; dominant driver identified and quantified; character replicates.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1"/>
      </w:pPr>
      <w:r>
        <w:t xml:space="preserve">1. Executive summary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1 (published daily baseline) replicates: 25,603 trades and 57.04% winners on 2000-01 to 2024-09 against the published ~25,000 and 56.81%, average win +3.19% versus average loss −2.93%, zero symbol failures. The anchor requires one open position per symbol; entering on every signal bar gives 52,129 trades at 57.22%, so the source’s "overlapping trades allowed" is portfolio-level concurrency, not same-symbol pyramiding.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replication is insensitive to the undisclosed adjustment basis: capital-only adjustment gives 24,639 trades and 56.62% winners — the published anchors sit between the two bases.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2b validation (2018-01 to 2026-07, executed once, no iteration): every configuration fails the pre-registered gates — primary Sharpe 0.548 and profit factor 1.42, below-high trigger 0.479 / 1.30, below-high plus breadth 0.498 / 1.32 (gates: at least 0.7 and 1.5). The design-segment ranking inverted out of sample; the weekly variant is not taken forward.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3b design segment (1994-2017) is plateau-stable around the source defaults (primary 10.6% p.a., Sharpe 1.07, maximum drawdown −13.2%, usage 7.7%); the S&amp;P 500 transplant strengthens the mechanism (14.2% p.a., Sharpe 1.39, usage 11.3%).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3b full-window replication fails the acceptance gate under the pre-registered order-placement convention (CAGR 9.84% versus 19.17%; usage 7.32% versus ~13.9% on the source window). The registered investigation identifies the free-slot placement convention as the dominant driver: an all-signals placement variant reaches 15.37% CAGR and 9.27% usage — roughly 60% of the CAGR gap — with the per-trade profile intact. The residual is attributed to the source’s non-compounding fixed-capital form and undisclosed costs.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Forty-five backtest executions this session; zero configurations taken forward; one engine convention (baseline no-reentry) adopted on anchor-match evidence rather than performance.</w:t>
      </w:r>
    </w:p>
    <w:p>
      <w:pPr>
        <w:pStyle w:val="Heading1"/>
      </w:pPr>
      <w:r>
        <w:t xml:space="preserve">2. Verified data layer and engine map</w:t>
      </w:r>
    </w:p>
    <w:p>
      <w:pPr>
        <w:spacing w:after="120" w:before="0"/>
      </w:pPr>
      <w:r>
        <w:t xml:space="preserve">Runbook steps 0-2 preceded every result. The NDU archive was verified complete by breadth checks, not a single-symbol probe: 14,421 current plus 21,046 delisted symbols; a 40-name delisted sample shows first bars distributed 1990-2021 with none clustered at 2024 or later; MSFT’s first S&amp;P 500 member-day reads 1994-06-07, its true join date; Nasdaq 100 constituency begins 1993-10-01, which both covers the Phase 3 design segment and explains the source’s 1994 start.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Depth gate: the weekly engine hard-failed on the warm trial-depth cache before any refresh ("Cache depth mismatch", exit 1); the same guard is now wired into the baseline engine via a pre-sweep probe.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Universes: full membership scans over 35,467 candidates rebuilt both lists (SPX 542 to 1,299; NDX 125 to 479), each set-identical to the vendor watchlist — two independent construction paths agreeing symbol for symbol. The trial watchlist quirk resolved itself post-subscription.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Calendar conventions: $NDX (1985 onward) is the Phase 3 calendar and benchmark because $NDXTR only begins 1999-03; %IRX (1960 onward) backs the T-bill cash alternate.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Absolute price screens ($5 minimum, dollar-volume) read the unadjusted traded series; back-adjusted screens would exclude early-history compounders (AAPL’s 2000 total-return close is about $0.11). Sensitivity shows the effect is small for S&amp;P large caps (378 versus 375 trades).</w:t>
      </w:r>
    </w:p>
    <w:p>
      <w:pPr>
        <w:pStyle w:val="Heading1"/>
      </w:pPr>
      <w:r>
        <w:t xml:space="preserve">3. Findings</w:t>
      </w:r>
    </w:p>
    <w:p>
      <w:pPr>
        <w:pStyle w:val="Heading2"/>
      </w:pPr>
      <w:r>
        <w:t xml:space="preserve">F1 — the published baseline replicates, and the convention matters more than the indicator</w:t>
      </w:r>
    </w:p>
    <w:p>
      <w:pPr>
        <w:spacing w:after="120" w:before="0"/>
      </w:pPr>
      <w:r>
        <w:t xml:space="preserve">Wilder RSI(5) under 20 with close above the 200-day average, five-bar positional exits, point-in-time membership: the win rate lands within a quarter point of the published figure under either entry convention, but the trade count only matches under one open position per symbol. Dip episodes persist for several days, so per-signal stacking roughly doubles the count without changing per-trade statistics. The trial window’s apparent two-times trade rate was this convention, not the 2025 regime.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6"/>
        <w:gridCol w:w="1605"/>
        <w:gridCol w:w="1605"/>
        <w:gridCol w:w="1605"/>
        <w:gridCol w:w="1605"/>
      </w:tblGrid>
      <w:tr>
        <w:trPr>
          <w:tblHeader/>
        </w:trPr>
        <w:tc>
          <w:tcPr>
            <w:tcW w:type="dxa" w:w="2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Configuration (2000-01 to 2024-09)</w:t>
            </w:r>
          </w:p>
        </w:tc>
        <w:tc>
          <w:tcPr>
            <w:tcW w:type="dxa" w:w="16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Trades</w:t>
            </w:r>
          </w:p>
        </w:tc>
        <w:tc>
          <w:tcPr>
            <w:tcW w:type="dxa" w:w="16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Win %</w:t>
            </w:r>
          </w:p>
        </w:tc>
        <w:tc>
          <w:tcPr>
            <w:tcW w:type="dxa" w:w="16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Avg win %</w:t>
            </w:r>
          </w:p>
        </w:tc>
        <w:tc>
          <w:tcPr>
            <w:tcW w:type="dxa" w:w="16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Avg loss %</w:t>
            </w:r>
          </w:p>
        </w:tc>
      </w:tr>
      <w:tr>
        <w:tc>
          <w:tcPr>
            <w:tcW w:type="dxa" w:w="2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Published anchor</w:t>
            </w:r>
          </w:p>
        </w:tc>
        <w:tc>
          <w:tcPr>
            <w:tcW w:type="dxa" w:w="16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~25,000</w:t>
            </w:r>
          </w:p>
        </w:tc>
        <w:tc>
          <w:tcPr>
            <w:tcW w:type="dxa" w:w="16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56.81</w:t>
            </w:r>
          </w:p>
        </w:tc>
        <w:tc>
          <w:tcPr>
            <w:tcW w:type="dxa" w:w="16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win &gt; loss</w:t>
            </w:r>
          </w:p>
        </w:tc>
        <w:tc>
          <w:tcPr>
            <w:tcW w:type="dxa" w:w="16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re-entry (adopted default)</w:t>
            </w:r>
          </w:p>
        </w:tc>
        <w:tc>
          <w:tcPr>
            <w:tcW w:type="dxa" w:w="16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25,603</w:t>
            </w:r>
          </w:p>
        </w:tc>
        <w:tc>
          <w:tcPr>
            <w:tcW w:type="dxa" w:w="16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57.04</w:t>
            </w:r>
          </w:p>
        </w:tc>
        <w:tc>
          <w:tcPr>
            <w:tcW w:type="dxa" w:w="16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+3.19</w:t>
            </w:r>
          </w:p>
        </w:tc>
        <w:tc>
          <w:tcPr>
            <w:tcW w:type="dxa" w:w="16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−2.93</w:t>
            </w:r>
          </w:p>
        </w:tc>
      </w:tr>
      <w:tr>
        <w:tc>
          <w:tcPr>
            <w:tcW w:type="dxa" w:w="2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Per-signal stacking</w:t>
            </w:r>
          </w:p>
        </w:tc>
        <w:tc>
          <w:tcPr>
            <w:tcW w:type="dxa" w:w="16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52,129</w:t>
            </w:r>
          </w:p>
        </w:tc>
        <w:tc>
          <w:tcPr>
            <w:tcW w:type="dxa" w:w="16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57.22</w:t>
            </w:r>
          </w:p>
        </w:tc>
        <w:tc>
          <w:tcPr>
            <w:tcW w:type="dxa" w:w="16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+3.16</w:t>
            </w:r>
          </w:p>
        </w:tc>
        <w:tc>
          <w:tcPr>
            <w:tcW w:type="dxa" w:w="16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−2.90</w:t>
            </w:r>
          </w:p>
        </w:tc>
      </w:tr>
      <w:tr>
        <w:tc>
          <w:tcPr>
            <w:tcW w:type="dxa" w:w="26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re-entry, capital-only adjustment</w:t>
            </w:r>
          </w:p>
        </w:tc>
        <w:tc>
          <w:tcPr>
            <w:tcW w:type="dxa" w:w="16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24,639</w:t>
            </w:r>
          </w:p>
        </w:tc>
        <w:tc>
          <w:tcPr>
            <w:tcW w:type="dxa" w:w="16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56.62</w:t>
            </w:r>
          </w:p>
        </w:tc>
        <w:tc>
          <w:tcPr>
            <w:tcW w:type="dxa" w:w="16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+3.20</w:t>
            </w:r>
          </w:p>
        </w:tc>
        <w:tc>
          <w:tcPr>
            <w:tcW w:type="dxa" w:w="16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−2.90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</w:pPr>
      <w:r>
        <w:t xml:space="preserve">F2 — Phase 2b design segment: two alternates repaired 2000-02 and led the shortlist</w:t>
      </w:r>
    </w:p>
    <w:p>
      <w:pPr>
        <w:spacing w:after="120" w:before="0"/>
      </w:pPr>
      <w:r>
        <w:t xml:space="preserve">The v1 primary’s entire −29.3% maximum drawdown sits in the 2000-02 bear (104 trades at 38.5% winners; the capitalisation-weighted 40-week gate whipsawed). The below-high dip trigger and the breadth gate each repaired that episode through a distinct mechanism and beat the primary on every headline metric at the same trade rate; their combination reached Sharpe 1.10, drawdown −15.9% and profit factor 2.34 on the design segment — a profile sitting on top of the published live-model statistics. The registered honesty checks moved in the pre-registered directions (weekly-close monitoring flatters; next-open entry is slightly better than same-close; costs move little). High-NATR ranking is decisively worse in this portfolio-with-stops context (Sharpe 0.43), resolving the ranking-direction question in favour of the live model’s low-volatility preference.</w:t>
      </w:r>
    </w:p>
    <w:p>
      <w:pPr>
        <w:pStyle w:val="Heading2"/>
      </w:pPr>
      <w:r>
        <w:t xml:space="preserve">F3 — Phase 2b validation: the ranking inverted and every gate failed</w:t>
      </w:r>
    </w:p>
    <w:p>
      <w:pPr>
        <w:spacing w:after="120" w:before="0"/>
      </w:pPr>
      <w:r>
        <w:t xml:space="preserve">The single validation pass ran exactly three configurations. All three failed the Sharpe and profit-factor gates while passing drawdown and trade-rate; hit rates fell from 56-62% in design to 48-51%. The unmodified primary validated best — the design-segment selection added negative value out of sample, which is precisely the failure mode the two-segment protocol exists to catch. Per the pre-registration there is no iteration: the weekly variant is not taken forward, and any successor requires a fresh pre-registration.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495675"/>
            <wp:effectExtent t="0" r="0" b="0" l="0"/>
            <wp:docPr id="1" name="design_vs_validation.png" descr="Sharpe by segment for the three validated configurations. The green region is the validation pass zone (at least 0.7). The steepest design-segment improvements collapse hardest out of sample; the ranking inverts." title="Sharpe by segment for the three validated configurations. The green region is the validation pass zone (at least 0.7). The steepest design-segment improvements collapse hardest out of sample; the ranking inver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i/>
          <w:iCs/>
          <w:color w:val="666666"/>
          <w:sz w:val="18"/>
          <w:szCs w:val="18"/>
        </w:rPr>
        <w:t xml:space="preserve">Sharpe by segment for the three validated configurations. The green region is the validation pass zone (at least 0.7). The steepest design-segment improvements collapse hardest out of sample; the ranking inverts.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524125"/>
            <wp:effectExtent t="0" r="0" b="0" l="0"/>
            <wp:docPr id="1" name="weekly_chained_equity.png" descr="The published dashboard record: design and validation segments of the v1 primary chain-linked with fresh capital at the 2018 boundary. The chained curve’s own Sharpe (0.707) is incidental; the gate applies to the validation segment alone (0.548)." title="The published dashboard record: design and validation segments of the v1 primary chain-linked with fresh capital at the 2018 boundary. The chained curve’s own Sharpe (0.707) is incidental; the gate applies to the validation segment alone (0.548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i/>
          <w:iCs/>
          <w:color w:val="666666"/>
          <w:sz w:val="18"/>
          <w:szCs w:val="18"/>
        </w:rPr>
        <w:t xml:space="preserve">The published dashboard record: design and validation segments of the v1 primary chain-linked with fresh capital at the 2018 boundary. The chained curve’s own Sharpe (0.707) is incidental; the gate applies to the validation segment alone (0.548).</w:t>
      </w:r>
    </w:p>
    <w:p>
      <w:pPr>
        <w:pStyle w:val="Heading2"/>
      </w:pPr>
      <w:r>
        <w:t xml:space="preserve">F4 — Phase 3b design segment: the source defaults are stable, not fitted</w:t>
      </w:r>
    </w:p>
    <w:p>
      <w:pPr>
        <w:spacing w:after="120" w:before="0"/>
      </w:pPr>
      <w:r>
        <w:t xml:space="preserve">Every registered dial sits on a flat or defensibly-shaped plateau around the published defaults: dip depth flat across −2/−3/−4%; target multiple flat; the volatility filter and the liquidity screen nearly redundant; strict-touch fill and strict-target sensitivities indistinguishable from the defaults. Entry depth is the one cliff — 0.5 x ATR fills too easily and takes −30.7% drawdown — and the published 0.9 sits on the safe side. Pricing gap-through fills at the limit rather than the open costs about 2.4 CAGR points, so a visible share of the edge lives in gap-down fills; a real resting order does receive the better open price, so the default convention stands. The strategy earned +103% through 2000-02 at −11.9% drawdown — it monetises panic volatility, as the source claims.</w:t>
      </w:r>
    </w:p>
    <w:p>
      <w:pPr>
        <w:pStyle w:val="Heading2"/>
      </w:pPr>
      <w:r>
        <w:t xml:space="preserve">F5 — Phase 3b anchors: not replicated within tolerances; the driver is order placement</w:t>
      </w:r>
    </w:p>
    <w:p>
      <w:pPr>
        <w:spacing w:after="120" w:before="0"/>
      </w:pPr>
      <w:r>
        <w:t xml:space="preserve">Under the pre-registered free-slot placement convention the source window returns half the anchor CAGR at half the usage with materially lower drawdown and an in-family per-trade profile — a participation signature, not a signal difference. The registered investigation order (fill model first) identified the convention: placing orders only for free slots forfeits fills in exactly the volatility clusters the model monetises. The all-signals variant closes most of the gap; the residual (−3.8 CAGR points against a ±3 gate; −4.6 usage points against ±4) is attributed to the source’s fixed-capital, non-compounding form — simple annualisation on fixed capital reads above compound CAGR for a profitable strategy — and its undisclosed cost model. Character replicates cleanly: 68-69% winners, profit factor 1.8-1.9, one-to-two-day winners, drawdown well inside the published figure throughout.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409825"/>
            <wp:effectExtent t="0" r="0" b="0" l="0"/>
            <wp:docPr id="1" name="dl_participation_gap.png" descr="CAGR and average capital usage on the source window (1994 to 2025-01) under the two placement conventions, against the published anchors. The green bands are the pre-registered acceptance tolerances (±3 CAGR points, ±4 usage points)." title="CAGR and average capital usage on the source window (1994 to 2025-01) under the two placement conventions, against the published anchors. The green bands are the pre-registered acceptance tolerances (±3 CAGR points, ±4 usage point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i/>
          <w:iCs/>
          <w:color w:val="666666"/>
          <w:sz w:val="18"/>
          <w:szCs w:val="18"/>
        </w:rPr>
        <w:t xml:space="preserve">CAGR and average capital usage on the source window (1994 to 2025-01) under the two placement conventions, against the published anchors. The green bands are the pre-registered acceptance tolerances (±3 CAGR points, ±4 usage points).</w:t>
      </w:r>
    </w:p>
    <w:p>
      <w:pPr>
        <w:pStyle w:val="Heading1"/>
        <w:pageBreakBefore/>
      </w:pPr>
      <w:r>
        <w:t xml:space="preserve">4. Decisions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2410"/>
        <w:gridCol w:w="4410"/>
      </w:tblGrid>
      <w:tr>
        <w:trPr>
          <w:tblHeader/>
        </w:trPr>
        <w:tc>
          <w:tcPr>
            <w:tcW w:type="dxa" w:w="22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2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Decision</w:t>
            </w:r>
          </w:p>
        </w:tc>
        <w:tc>
          <w:tcPr>
            <w:tcW w:type="dxa" w:w="4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22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Baseline entry convention</w:t>
            </w:r>
          </w:p>
        </w:tc>
        <w:tc>
          <w:tcPr>
            <w:tcW w:type="dxa" w:w="2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ADOPT no-reentry default</w:t>
            </w:r>
          </w:p>
        </w:tc>
        <w:tc>
          <w:tcPr>
            <w:tcW w:type="dxa" w:w="4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Anchor trade count matches only under one open position per symbol (F1); per-signal retained behind a flag.</w:t>
            </w:r>
          </w:p>
        </w:tc>
      </w:tr>
      <w:tr>
        <w:tc>
          <w:tcPr>
            <w:tcW w:type="dxa" w:w="22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Weekly variant (all configurations)</w:t>
            </w:r>
          </w:p>
        </w:tc>
        <w:tc>
          <w:tcPr>
            <w:tcW w:type="dxa" w:w="2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REJECT — not taken forward</w:t>
            </w:r>
          </w:p>
        </w:tc>
        <w:tc>
          <w:tcPr>
            <w:tcW w:type="dxa" w:w="4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 gates failed for primary and both shortlisted alternates; ranking inverted out of sample (F3). Successor requires a fresh pre-registration.</w:t>
            </w:r>
          </w:p>
        </w:tc>
      </w:tr>
      <w:tr>
        <w:tc>
          <w:tcPr>
            <w:tcW w:type="dxa" w:w="22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Weekly validation segment</w:t>
            </w:r>
          </w:p>
        </w:tc>
        <w:tc>
          <w:tcPr>
            <w:tcW w:type="dxa" w:w="2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CLOSED</w:t>
            </w:r>
          </w:p>
        </w:tc>
        <w:tc>
          <w:tcPr>
            <w:tcW w:type="dxa" w:w="4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Touched once by exactly three pre-registered configurations; no iteration.</w:t>
            </w:r>
          </w:p>
        </w:tc>
      </w:tr>
      <w:tr>
        <w:tc>
          <w:tcPr>
            <w:tcW w:type="dxa" w:w="22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Daily limit variant replication</w:t>
            </w:r>
          </w:p>
        </w:tc>
        <w:tc>
          <w:tcPr>
            <w:tcW w:type="dxa" w:w="2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RECORD as not-replicated-within-tolerances</w:t>
            </w:r>
          </w:p>
        </w:tc>
        <w:tc>
          <w:tcPr>
            <w:tcW w:type="dxa" w:w="4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Dominant driver identified and quantified (F5); residual attributed to undisclosed engine and metric conventions; character replicates.</w:t>
            </w:r>
          </w:p>
        </w:tc>
      </w:tr>
      <w:tr>
        <w:tc>
          <w:tcPr>
            <w:tcW w:type="dxa" w:w="22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 placement conventions</w:t>
            </w:r>
          </w:p>
        </w:tc>
        <w:tc>
          <w:tcPr>
            <w:tcW w:type="dxa" w:w="2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KEEP BOTH, documented</w:t>
            </w:r>
          </w:p>
        </w:tc>
        <w:tc>
          <w:tcPr>
            <w:tcW w:type="dxa" w:w="4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Free-slots is the conservative deployable reading; all-signals is the faithful reading of the source backtester.</w:t>
            </w:r>
          </w:p>
        </w:tc>
      </w:tr>
      <w:tr>
        <w:tc>
          <w:tcPr>
            <w:tcW w:type="dxa" w:w="22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Price-screen basis</w:t>
            </w:r>
          </w:p>
        </w:tc>
        <w:tc>
          <w:tcPr>
            <w:tcW w:type="dxa" w:w="2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ADOPT unadjusted series</w:t>
            </w:r>
          </w:p>
        </w:tc>
        <w:tc>
          <w:tcPr>
            <w:tcW w:type="dxa" w:w="4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Back-adjusted screens exclude early-history compounders; logged as an implementation clarification of the registered rule.</w:t>
            </w:r>
          </w:p>
        </w:tc>
      </w:tr>
      <w:tr>
        <w:tc>
          <w:tcPr>
            <w:tcW w:type="dxa" w:w="22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Publication</w:t>
            </w:r>
          </w:p>
        </w:tc>
        <w:tc>
          <w:tcPr>
            <w:tcW w:type="dxa" w:w="2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PUBLISHED with verdicts on-page</w:t>
            </w:r>
          </w:p>
        </w:tc>
        <w:tc>
          <w:tcPr>
            <w:tcW w:type="dxa" w:w="4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Dashboard carries the chained record and the gates-not-met banner; derived aggregates only, licensed raw data excluded (commit c20735f).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</w:pPr>
      <w:r>
        <w:t xml:space="preserve">5. Trial register</w:t>
      </w:r>
    </w:p>
    <w:p>
      <w:pPr>
        <w:spacing w:after="120" w:before="0"/>
      </w:pPr>
      <w:r>
        <w:t xml:space="preserve">Forty-five backtest executions across approximately forty distinct configurations: Phase 1 conventions and sensitivities (4); Phase 2b design battery including the combination (18); Phase 2b validation, executed once (3); Phase 3b design battery including the transplant and the all-signals investigation (18); Phase 3b full-window replication under both placement conventions (2). Zero configurations were selected for deployment, so no deflated-Sharpe haircut is charged against a deployed claim; the register exists to charge any future revival of these families for this search.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162175"/>
            <wp:effectExtent t="0" r="0" b="0" l="0"/>
            <wp:docPr id="1" name="scope_funnel.png" descr="Executions per family. Red bars touch validation-era data and were run exactly once each under owner approval; blue bars are design-segment or anchor-window work." title="Executions per family. Red bars touch validation-era data and were run exactly once each under owner approval; blue bars are design-segment or anchor-window wor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i/>
          <w:iCs/>
          <w:color w:val="666666"/>
          <w:sz w:val="18"/>
          <w:szCs w:val="18"/>
        </w:rPr>
        <w:t xml:space="preserve">Executions per family. Red bars touch validation-era data and were run exactly once each under owner approval; blue bars are design-segment or anchor-window work.</w:t>
      </w:r>
    </w:p>
    <w:p>
      <w:pPr>
        <w:pStyle w:val="Heading1"/>
      </w:pPr>
      <w:r>
        <w:t xml:space="preserve">6. Artefact register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Engines and controls: scripts/backtest_baseline.py, scripts/backtest_weekly.py, scripts/backtest_daily_limit.py, scripts/providers.py (63 tests passing).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records (derived aggregates, committed): data/baseline_anchor_*, data/baseline_noreentry_full_summary.json, data/baseline_anchor_capital_summary.json, data/weekly_design_*_summary.json, data/weekly_valid_*, data/daily_limit_full_*, data/daily_limit_full_allsignals_*, data/dl_design_*_summary.json, plus headline trade and equity CSVs.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Dashboard: template.html and docs/index.html (chained record, verdict banner), data/dashboard.json via scripts/pipeline.py.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Design documents with appended verdict records: PHASE2_DESIGN.md (validation record), PHASE3_DESIGN.md (replication record). README status entries 2026-07-04; open issues 1/2/3/4/6/7 closed, issue 8 opened and answered.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Charts: scripts/record_charts.py writes reviews/assets/*.png from committed data.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Running memo: RESEARCH_MEMO.md. Commits: 736a732, c20735f.</w:t>
      </w:r>
    </w:p>
    <w:p>
      <w:pPr>
        <w:pStyle w:val="Heading1"/>
      </w:pPr>
      <w:r>
        <w:t xml:space="preserve">7. Next phase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Weekly family: dormant. Reopening requires a fresh pre-registration that inherits this trial register; the validation segment stays closed to iteration.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Daily limit family: the replication record is complete. Any deployment question would start from the free-slots (conservative) record at small size and would need its own pre-registration; the stacking study with the weekly variant is moot.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Dashboard: a daily-variant panel and a visual validation-boundary marker are queued as mechanical template work for an Opus-fast session per the project session-model guidance.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Norgate: renewal or right-sizing decision due December 2026 (shared with em-rotation-lab).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 (Fable 5), buy-the-dip research session 2026-07-04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Reviewed and approved by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Zhenghao Phua — validation and publication approved in-session 2026-07-04; record sign-off pending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2026-07-04 (Saturday)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Next review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Event-driven: any revival pre-registration, or the December 2026 Norgate renewal decision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20" w:before="0"/>
      </w:pPr>
      <w:r>
        <w:rPr>
          <w:i/>
          <w:iCs/>
          <w:color w:val="777777"/>
          <w:sz w:val="17"/>
          <w:szCs w:val="17"/>
        </w:rPr>
        <w:t xml:space="preserve">Personal research artefact. Not investment advice. All statistics are backtested results on survivorship-bias-free point-in-time data with the stated cost and fill conventions; published-source figures are quoted for comparison only and remain the source’s own claims.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808080"/>
        <w:sz w:val="16"/>
        <w:szCs w:val="16"/>
      </w:rPr>
      <w:t xml:space="preserve">buy-the-dip — Personal research</w:t>
    </w:r>
    <w:r>
      <w:rPr>
        <w:color w:val="808080"/>
        <w:sz w:val="16"/>
        <w:szCs w:val="16"/>
      </w:rPr>
      <w:t xml:space="preserve">	2026-07-04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4B7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ceb4ab01590ca2ea8d9d64f3beb51443c105f35.png"/><Relationship Id="rId10" Type="http://schemas.openxmlformats.org/officeDocument/2006/relationships/image" Target="media/f865d6c60713ff5a7a8bf1669b307e9f055bbf42.png"/><Relationship Id="rId11" Type="http://schemas.openxmlformats.org/officeDocument/2006/relationships/image" Target="media/848d33d8c42ec2cd6449c4a2c381b840ba3762f7.png"/><Relationship Id="rId12" Type="http://schemas.openxmlformats.org/officeDocument/2006/relationships/image" Target="media/ed7b302bfa75eb91ff5e1cc04b0a8710d0b73da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2026-07-04T11:39:28.846Z</dcterms:created>
  <dcterms:modified xsi:type="dcterms:W3CDTF">2026-07-04T11:39:28.846Z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