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Crypto-Breadth v3.1 — robustness review</w:t>
      </w:r>
    </w:p>
    <w:p>
      <w:pPr>
        <w:spacing w:after="60" w:before="0"/>
      </w:pPr>
      <w:r>
        <w:rPr>
          <w:sz w:val="24"/>
          <w:szCs w:val="24"/>
        </w:rPr>
        <w:t xml:space="preserve">Deflated Sharpe · full-config walk-forward · cost stress · weak-patch autopsy · concentration &amp; gate ablations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Saturday, 4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/ context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Crypto-Breadth (Personal research); public repo phuazz/crypto-breadth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Deployed-to-repo v3.1 (Binance USDT 25-coin cross-sectional momentum + breadth gate + per-coin trend filters): Phase B (deflated Sharpe, full-config walk-forward, cost/execution stress, weak-patch autopsy, C.2 vol-target overlay), C.3 concentration, C.4 gate ablation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Evaluation window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2018-01-01 → 2026-07-03 daily; IS 2018–2020, OOS 2021+; full-config walk-forward re-fit per anchor year 2020–2026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Data basis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data/prices.parquet (Binance USDT spot), frozen; no new vendor. Substrate carries a survivorship caveat (§3.1)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v3.1 engine frozen as the review baseline; realistic costs 10–50 bps/side; rule PR-1 pre-registered before data; deflated-Sharpe haircut over ~50 reconstructed trials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Repository commits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45c2d9a → f816527 (7 commits, 2026-07-04)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Running memo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RESEARCH_MEMO.md (PR-1 + post-hoc amendment; REVIEW CLOSE)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REVIEWED — KEEP (amended): edge real, deploy as a small crypto sleeve; original −30%-rule verdict was do-not-deploy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KEEP (amended). </w:t>
      </w:r>
      <w:r>
        <w:t xml:space="preserve">v3.1's edge is statistically real and beats passive crypto risk-adjusted — full-sample Sharpe 1.35 vs BTC 0.61 and 60/40 0.66; OOS (2021+) Sharpe 1.43. Deploy as a small diversifier sleeve.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 a multiple-testing fluke. </w:t>
      </w:r>
      <w:r>
        <w:t xml:space="preserve">Deflated Sharpe ≥ 0.999 across N = 10–200 reconstructed trials (≈50 base) — the edge clears the noise floor after charging for the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Parameters are not overfit. </w:t>
      </w:r>
      <w:r>
        <w:t xml:space="preserve">A 60-config annual re-fit (full-config walk-forward) loses only +0.08 Sharpe OOS versus the frozen config; (30,90,180) + top-4 was in-sample-best in all seven anchor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Cost-robust. </w:t>
      </w:r>
      <w:r>
        <w:t xml:space="preserve">Full Sharpe holds 1.35 → 1.21 from 10 to 50 bps/side; OOS 1.43 → 1.28.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Drawdown is deep but not disqualifying. </w:t>
      </w:r>
      <w:r>
        <w:t xml:space="preserve">−44.8% (peak Dec-2024 → trough Jun-2026), far shallower than passive crypto (BTC −81%, 60/40 −85%). The original −30% deploy ceiling was removed post-hoc as an equity frame mis-applied to crypto (§5).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Three caveats govern sizing, not the decision: </w:t>
      </w:r>
      <w:r>
        <w:t xml:space="preserve">a survivorship-optimistic headline (25-coin universe hindsight-selected; 40/40 era-liquid deaths absent), a 2021-concentrated track (+1882% one year), and an on-notice 2025–26 weak patch.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modification path failed. </w:t>
      </w:r>
      <w:r>
        <w:t xml:space="preserve">Concentration (C.3a) hurts; a majors time-series engine (C.3b) is weaker and no shallower. The breadth gate is validated (load-bearing; beats a BTC-200d filter).</w:t>
      </w:r>
    </w:p>
    <w:p>
      <w:pPr>
        <w:pStyle w:val="Heading1"/>
      </w:pPr>
      <w:r>
        <w:t xml:space="preserve">2. Verified architecture</w:t>
      </w:r>
    </w:p>
    <w:p>
      <w:pPr>
        <w:spacing w:after="120" w:before="0"/>
      </w:pPr>
      <w:r>
        <w:t xml:space="preserve">The reviewed engine (scripts/backtest.py, frozen) is a weekly cross-sectional momentum book: composite risk-adjusted momentum over 30/90/180 days, top-4 equal-weight, gated by the share of the investable universe above its 50-day moving average (tiered 0/30/60/100% gross), with a strict per-coin trend-entry filter and an asymmetric daily trend-exit. Signals observed at close T, traded at close T+1; 10 bps/side. The universe is a rolling-liquidity gate over 25 Binance USDT pairs.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Drift from the written record (code beats docs): the README claimed the rolling gate 'removes the survivorship bias of any hand-picked fixed list'. It does not — the 25 names are themselves a hindsight-selected set (§3.1). Corrected in the README in this review.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3. Findings</w:t>
      </w:r>
    </w:p>
    <w:p>
      <w:pPr>
        <w:pStyle w:val="Heading2"/>
      </w:pPr>
      <w:r>
        <w:t xml:space="preserve">3.1 Survivorship &amp; data substrate (Phase 2)</w:t>
      </w:r>
    </w:p>
    <w:p>
      <w:pPr>
        <w:spacing w:after="120" w:before="0"/>
      </w:pPr>
      <w:r>
        <w:t xml:space="preserve">The universe is a fixed, hindsight-selected 25-coin list, not a point-in-time construction: no coin ever delists (every name runs to the panel end), and 40 of 40 well-known 2019–2021 Binance USDT era-majors are absent — the candidate pool is under 40% of the true era-liquid set, with the gap concentrated in the alt-heavy years (2019, 2021). The survivorship-selection bias is therefore optimistic and material; it cannot be point-estimated without the full Binance listing (out of scope under the no-new-vendor rule) and is carried as an upper-bound caveat. Mitigants: the two most violent deaths (LUNA worst 1-day −100%, FTT −75%) are honestly captured, the Binance→CryptoCompare handover shows no discontinuity, and interior data gaps are handled by the investability mask.</w:t>
      </w:r>
    </w:p>
    <w:p>
      <w:pPr>
        <w:pStyle w:val="Heading2"/>
      </w:pPr>
      <w:r>
        <w:t xml:space="preserve">3.2 Statistical significance — deflated Sharpe</w:t>
      </w:r>
    </w:p>
    <w:p>
      <w:pPr>
        <w:spacing w:after="120" w:before="0"/>
      </w:pPr>
      <w:r>
        <w:t xml:space="preserve">Reconstructed trial count ≈ 50 (sensitivity OAT ~33 + vol-target grid 12 + walk-forward grid 6 + structural ladder ~5, net of overlaps). Trial-Sharpe dispersion from the 60-config grid = 0.124 annual. The deflated Sharpe stays at or above 0.999 for every assumed N from 10 to 200 — the edge is far above the multiple-testing noise floor and is not an artefact of the search. (This is orthogonal to the survivorship bias, which concerns the level, not the significance.)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590800"/>
            <wp:effectExtent t="0" r="0" b="0" l="0"/>
            <wp:docPr id="1" name="dsr_vs_n.png" descr="Deflated Sharpe (probability the true Sharpe exceeds the search-adjusted threshold) against the assumed number of trials. It stays ≥ 0.999 even at N = 200, well above the 0.95 bar (dashed)." title="Deflated Sharpe (probability the true Sharpe exceeds the search-adjusted threshold) against the assumed number of trials. It stays ≥ 0.999 even at N = 200, well above the 0.95 bar (dash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Deflated Sharpe (probability the true Sharpe exceeds the search-adjusted threshold) against the assumed number of trials. It stays ≥ 0.999 even at N = 200, well above the 0.95 bar (dashed).</w:t>
      </w:r>
    </w:p>
    <w:p>
      <w:pPr>
        <w:pStyle w:val="Heading2"/>
      </w:pPr>
      <w:r>
        <w:t xml:space="preserve">3.3 Parameter robustness — full-config walk-forward</w:t>
      </w:r>
    </w:p>
    <w:p>
      <w:pPr>
        <w:spacing w:after="120" w:before="0"/>
      </w:pPr>
      <w:r>
        <w:t xml:space="preserve">A 60-config factorial (momentum lookbacks × top-N × breadth-MA window) was re-selected annually on an expanding in-sample window and chained out-of-sample. Re-fitting scores Sharpe 1.357 versus the frozen 1.437 — it loses +0.080, well inside the 0.30 tolerance. (30,90,180) + top-4 was in-sample-best in all seven anchors; only the breadth-MA window wavered (70 in 2020–21, the default 50 thereafter). The parameters are not overfit.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Walk-forward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OOS Sharpe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Frozen production config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1.437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Annual full-config re-fit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1.357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loses +0.080 (≤ 0.30 → pass)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t xml:space="preserve">3.4 Cost &amp; execution stress</w:t>
      </w:r>
    </w:p>
    <w:p>
      <w:pPr>
        <w:spacing w:after="120" w:before="0"/>
      </w:pPr>
      <w:r>
        <w:t xml:space="preserve">The daily trend-exit lifts turnover, so costs matter; the edge nonetheless survives taker-level fees.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Fee (bps/side)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Full Sharpe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OOS Sharpe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Full CAGR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 (maker baseline)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1.429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75.6%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1.315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1.391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72.3%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1.279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69.2%</w:t>
            </w:r>
          </w:p>
        </w:tc>
      </w:tr>
      <w:tr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50 (mid-size taker)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1.206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1.280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63.0%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t xml:space="preserve">3.5 Weak-patch autopsy (C.1) — regime, not decay</w:t>
      </w:r>
    </w:p>
    <w:p>
      <w:pPr>
        <w:spacing w:after="120" w:before="0"/>
      </w:pPr>
      <w:r>
        <w:t xml:space="preserve">The strategy made a new all-time high (214×) on 2024-12-02, then drew down −44.8% into 2026-06. In the weak patch the breadth gate is actively de-risking (average gross exposure 0.40 vs 0.63 in a good period; 42% in cash vs 26%), and the momentum score has not inverted (held-vs-eligible forward-5-day spread stays +0.15%). But the edge has thinned ~85% (good-period spread +1.02%, hit-rate 42%): the book needs alt-dispersion — fat-right-tail alt winners — and a BTC-dominated 2025–26 offered none. Diagnosis: a severe regime episode, not signal inversion; the strategy is on notice. The return profile is dominated by 2021 (+1882%), which is also the most survivorship-inflated year.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09825"/>
            <wp:effectExtent t="0" r="0" b="0" l="0"/>
            <wp:docPr id="1" name="annual_returns.png" descr="Annual returns (symmetric-log scale so every year is legible). 2021's +1882% dominates the whole track; strip it and the deployable edge is far more pedestrian." title="Annual returns (symmetric-log scale so every year is legible). 2021's +1882% dominates the whole track; strip it and the deployable edge is far more pedestri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Annual returns (symmetric-log scale so every year is legible). 2021's +1882% dominates the whole track; strip it and the deployable edge is far more pedestrian.</w:t>
      </w:r>
    </w:p>
    <w:p>
      <w:pPr>
        <w:pStyle w:val="Heading2"/>
      </w:pPr>
      <w:r>
        <w:t xml:space="preserve">3.6 Risk profile versus passive crypto — the deployability case</w:t>
      </w:r>
    </w:p>
    <w:p>
      <w:pPr>
        <w:spacing w:after="120" w:before="0"/>
      </w:pPr>
      <w:r>
        <w:t xml:space="preserve">Judged against the correct benchmark — other crypto exposures, not equities — v3.1 dominates passive crypto on both risk-adjusted return and drawdown. This is the basis for the amended KEEP.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Series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Full Sharpe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Max drawdown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Strategy v3.1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−44.8%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BTC buy-and-hold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−81.2%</w:t>
            </w:r>
          </w:p>
        </w:tc>
      </w:tr>
      <w:tr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60/40 BTC-ETH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−85.5%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667000"/>
            <wp:effectExtent t="0" r="0" b="0" l="0"/>
            <wp:docPr id="1" name="equity_vs_passive.png" descr="Growth of $1 (log scale). The strategy compounds far above BTC and 60/40 over the full sample; the outperformance is concentrated in the alt years." title="Growth of $1 (log scale). The strategy compounds far above BTC and 60/40 over the full sample; the outperformance is concentrated in the alt ye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Growth of $1 (log scale). The strategy compounds far above BTC and 60/40 over the full sample; the outperformance is concentrated in the alt years.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drawdown_vs_btc.png" descr="Drawdown. The strategy's worst is −45% versus BTC's −81%; deep in absolute terms but roughly half of passive crypto. The dashed line marks the removed −30% ceiling." title="Drawdown. The strategy's worst is −45% versus BTC's −81%; deep in absolute terms but roughly half of passive crypto. The dashed line marks the removed −30% ceil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Drawdown. The strategy's worst is −45% versus BTC's −81%; deep in absolute terms but roughly half of passive crypto. The dashed line marks the removed −30% ceiling.</w:t>
      </w:r>
    </w:p>
    <w:p>
      <w:pPr>
        <w:pStyle w:val="Heading2"/>
      </w:pPr>
      <w:r>
        <w:t xml:space="preserve">3.7 C.2 vol-target overlay (registered arm)</w:t>
      </w:r>
    </w:p>
    <w:p>
      <w:pPr>
        <w:spacing w:after="120" w:before="0"/>
      </w:pPr>
      <w:r>
        <w:t xml:space="preserve">The risk-overlay-lab round-1 winner (EWMA estimator, 0.10 band, cap 1.0, weekly) transferred onto the crypto book trims the tail but does not transform it: MaxDD reaches −33% at best (target 30%, at a Sharpe cost to 1.04) and −35 to −38% at higher targets. The equity-book overlay does not fully transfer because the crypto tail (excess kurtosis 17.5, single-day gaps) outruns a lagged vol estimate. Overlay = optional tail-trimming, not a structural fix.</w:t>
      </w:r>
    </w:p>
    <w:p>
      <w:pPr>
        <w:pStyle w:val="Heading2"/>
      </w:pPr>
      <w:r>
        <w:t xml:space="preserve">3.8 C.3 concentration (Phase 4) — rejected</w:t>
      </w:r>
    </w:p>
    <w:p>
      <w:pPr>
        <w:spacing w:after="120" w:before="0"/>
      </w:pPr>
      <w:r>
        <w:t xml:space="preserve">Neither concentration arm produces a better book. Shrinking the eligible pool by trailing ADV monotonically degrades the cross-sectional engine (Sharpe 1.35 at 25 names → 0.84 at 4; drawdown worsens) — starving the ranker of breadth starves the signal. A new majors time-series-momentum engine (BTC+ETH / top-5-ADV × MA / MA-rising / 12−1 TSMOM × equal-weight / vol-target) is lower-Sharpe on every variant (best 0.87) and no shallower (best −50.6%); the deep drawdowns are genuine single-day gap risk (worst −74% = the COVID crash), which a weekly long-only filter cannot dodge. No deployable candidate emerged.</w:t>
      </w:r>
    </w:p>
    <w:p>
      <w:pPr>
        <w:pStyle w:val="Heading2"/>
      </w:pPr>
      <w:r>
        <w:t xml:space="preserve">3.9 C.4 gate ablation (Phase 5) — validated</w:t>
      </w:r>
    </w:p>
    <w:p>
      <w:pPr>
        <w:spacing w:after="120" w:before="0"/>
      </w:pPr>
      <w:r>
        <w:t xml:space="preserve">The gate is the single most important component: removing it collapses Sharpe by 0.61 (1.35 → 0.74) and blows the drawdown out by 38 points (−45% → −83%). The breadth gate beats a simple BTC-200-day filter full-sample (+0.17 Sharpe, shallower drawdown), so it earns its complexity. Two honest caveats: the tiering is redundant (a binary breadth gate matches the graduated one), and in the 2024+ weak patch the BTC filters edged breadth — the gate's superiority is regime-dependent.</w:t>
      </w:r>
    </w:p>
    <w:p>
      <w:pPr>
        <w:pStyle w:val="Heading1"/>
        <w:pageBreakBefore/>
      </w:pPr>
      <w:r>
        <w:t xml:space="preserve">4. Findings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2900"/>
        <w:gridCol w:w="2900"/>
      </w:tblGrid>
      <w:tr>
        <w:trPr>
          <w:tblHeader/>
        </w:trP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 / test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Bearing on the verdict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Deflated Sharpe (N 10–200)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≥ 0.999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Edge is real (not a search artefact)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Full-config walk-forward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loses +0.08 OOS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Parameters not overfit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 stress (10–50 bps)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Sharpe 1.35 → 1.21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Cost-robust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Weak-patch autopsy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regime, on notice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Score not inverted; on watch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 vs passive crypto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Sharpe 1.35 vs 0.61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Deployment case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C.2 vol-target overlay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MaxDD → −33% best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Optional tail-trim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C.3a concentration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monotonically worse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C.3b majors engine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weaker, −50%+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Rejected</w:t>
            </w:r>
          </w:p>
        </w:tc>
      </w:tr>
      <w:tr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C.4 breadth gate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load-bearing; beats BTC-200d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t xml:space="preserve">5. Pre-registration amendment (the −30% ceiling)</w:t>
      </w:r>
    </w:p>
    <w:p>
      <w:pPr>
        <w:spacing w:after="120" w:before="0"/>
      </w:pPr>
      <w:r>
        <w:t xml:space="preserve">The pre-registered rule (PR-1) set a hard −30% MaxDD deployment ceiling. On the results this proved binding — v3.1 (−44.8%) and every overlay / concentration / majors variant fail it. At the owner's instruction the ceiling was </w:t>
      </w:r>
      <w:r>
        <w:rPr>
          <w:b/>
          <w:bCs/>
        </w:rPr>
        <w:t xml:space="preserve">removed post-hoc</w:t>
      </w:r>
      <w:r>
        <w:t xml:space="preserve"> and logged transparently (not a silent rewrite) to preserve pre-registration integrity. Rationale: −30% imported an equity-style drawdown frame onto a crypto book; the correct benchmark is passive crypto (BTC −81%, 60/40 −85%), against which −44.8% is far shallower. Effect: under the </w:t>
      </w:r>
      <w:r>
        <w:rPr>
          <w:i/>
          <w:iCs/>
        </w:rPr>
        <w:t xml:space="preserve">original frozen rule the verdict was MODIFY / do-not-deploy</w:t>
      </w:r>
      <w:r>
        <w:t xml:space="preserve">; under the amended rule it is </w:t>
      </w:r>
      <w:r>
        <w:rPr>
          <w:b/>
          <w:bCs/>
        </w:rPr>
        <w:t xml:space="preserve">KEEP / deployable as a small sleeve</w:t>
      </w:r>
      <w:r>
        <w:t xml:space="preserve">. Both are on the record. The 0.30 OOS Sharpe-loss tolerance is unchanged.</w:t>
      </w:r>
    </w:p>
    <w:p>
      <w:pPr>
        <w:pStyle w:val="Heading1"/>
      </w:pPr>
      <w:r>
        <w:t xml:space="preserve">6.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2500"/>
        <w:gridCol w:w="3600"/>
      </w:tblGrid>
      <w:tr>
        <w:trPr>
          <w:tblHeader/>
        </w:trP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v3.1 strategy (as-is)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deploy small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Real edge; beats passive crypto; caveats govern sizing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Breadth gate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Load-bearing; beats BTC-200d filter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tiering (0/30/60/100)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SIMPLIFY (optional)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Binary gate matches the graduated one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C.2 vol-target overlay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OPTIONAL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Trims tail to ~−33%; does not transform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C.3a concentration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Monotonically degrades the ranker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C.3b majors engine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Weaker and no shallower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−30% MaxDD ceiling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REMOVED (amended)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Equity frame mis-applied to crypto</w:t>
            </w:r>
          </w:p>
        </w:tc>
      </w:tr>
      <w:tr>
        <w:tc>
          <w:tcPr>
            <w:tcW w:type="dxa" w:w="2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Deployment sizing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FLAGGED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 sleeve; survivorship + 2021 concentration + on-notice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t xml:space="preserve">7. Trial register</w:t>
      </w:r>
    </w:p>
    <w:p>
      <w:pPr>
        <w:spacing w:after="120" w:before="0"/>
      </w:pPr>
      <w:r>
        <w:t xml:space="preserve">95 configurations were evaluated across the arms and logged in results/trial_registry.jsonl (99 rows including references): Phase-B full-config grid 60, C.2 overlay 5, C.3a shrink 5, C.3b majors engine 20, C.4 gate 5. None was selected by an out-of-sample metric; the deflated-Sharpe haircut in §3.2 charges for the search. No production parameter was changed by the review.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scope_funnel.png" descr="Configurations evaluated per arm. 95 tested → v3.1 kept unchanged, C.3 rejected, the gate validated. Rigour with restraint: the search did not move the production parameters." title="Configurations evaluated per arm. 95 tested → v3.1 kept unchanged, C.3 rejected, the gate validated. Rigour with restraint: the search did not move the production paramete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i/>
          <w:iCs/>
          <w:color w:val="666666"/>
          <w:sz w:val="18"/>
          <w:szCs w:val="18"/>
        </w:rPr>
        <w:t xml:space="preserve">Configurations evaluated per arm. 95 tested → v3.1 kept unchanged, C.3 rejected, the gate validated. Rigour with restraint: the search did not move the production parameters.</w:t>
      </w:r>
    </w:p>
    <w:p>
      <w:pPr>
        <w:pStyle w:val="Heading1"/>
      </w:pPr>
      <w:r>
        <w:t xml:space="preserve">8. Artefact register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Harnesses: scripts/research/phase_b_review.py, phase_c3_concentration.py, phase_c4_gate.py, survivorship_audit.py, make_review_charts.py (all committed).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Results: results/phase_b_review.{json,md}, phase_c3_concentration.{json,md}, phase_c4_gate.{json,md}, survivorship_audit.{json,md}, trial_registry.jsonl.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Tests: tests/ (19 pytest engine unit tests); CI .github/workflows/tests.yml.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 &amp; policy: RESEARCH_MEMO.md, DATA_INTEGRITY_POLICY.md, CLAUDE.md.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Repository: phuazz/crypto-breadth, commits 45c2d9a → f816527. Dashboard: phuazz.github.io/crypto-breadth.</w:t>
      </w:r>
    </w:p>
    <w:p>
      <w:pPr>
        <w:pStyle w:val="Heading1"/>
      </w:pPr>
      <w:r>
        <w:t xml:space="preserve">9. Next phase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deployed: a small crypto diversifier sleeve, sized so a −45% book move is tolerable at the portfolio level.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C.5 (perpetual-futures short / hedge) — parked; the only mechanism that can materially cut the crypto tail, for a larger allocation.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Optional: apply the C.2 vol-target overlay for tail-trimming; simplify the gate to binary.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Truly untouched out-of-sample begins 2027-01-01.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research session, under direction of Zhenghao Phua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On material regime change, or before any capital deployment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Personal research artefact. All performance figures are simulated backtests, net of stated costs, and carry a documented optimistic survivorship-selection bias; nothing here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Crypto-Breadth v3.1 robustness review</w:t>
    </w:r>
    <w:r>
      <w:rPr>
        <w:color w:val="808080"/>
        <w:sz w:val="16"/>
        <w:szCs w:val="16"/>
      </w:rPr>
      <w:t xml:space="preserve">	Personal research — findings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a64f478f8ae6512c7d7e052f2a963cf5402e24.png"/><Relationship Id="rId10" Type="http://schemas.openxmlformats.org/officeDocument/2006/relationships/image" Target="media/7a8049df27ad21017dff032800d3f772ad510903.png"/><Relationship Id="rId11" Type="http://schemas.openxmlformats.org/officeDocument/2006/relationships/image" Target="media/d8d5b2dec2d7a85fb67eed02aad59b4f9ee58df7.png"/><Relationship Id="rId12" Type="http://schemas.openxmlformats.org/officeDocument/2006/relationships/image" Target="media/f9e24f8fcbd16c373545fa2c12a22e3aee58703b.png"/><Relationship Id="rId13" Type="http://schemas.openxmlformats.org/officeDocument/2006/relationships/image" Target="media/eb32acfe1b2dba9dd796f3ab031cdfc1c60e20d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2026-07-04T02:26:00.487Z</dcterms:created>
  <dcterms:modified xsi:type="dcterms:W3CDTF">2026-07-04T02:26:00.487Z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