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sz w:val="40"/>
          <w:szCs w:val="40"/>
        </w:rPr>
        <w:t xml:space="preserve">Crypto-Breadth v3.1 — what the review found</w:t>
      </w:r>
    </w:p>
    <w:p>
      <w:pPr>
        <w:spacing w:after="60" w:before="0"/>
      </w:pPr>
      <w:r>
        <w:rPr>
          <w:sz w:val="24"/>
          <w:szCs w:val="24"/>
        </w:rPr>
        <w:t xml:space="preserve">Plain-language summary for allocation review</w:t>
      </w:r>
    </w:p>
    <w:p>
      <w:pPr>
        <w:spacing w:after="200" w:before="0"/>
      </w:pPr>
      <w:r>
        <w:rPr>
          <w:color w:val="555555"/>
          <w:sz w:val="20"/>
          <w:szCs w:val="20"/>
        </w:rPr>
        <w:t xml:space="preserve">Saturday, 4 July 2026</w:t>
      </w:r>
    </w:p>
    <w:p>
      <w:pPr>
        <w:pBdr>
          <w:bottom w:val="single" w:color="1F3864" w:sz="8" w:space="1"/>
        </w:pBd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 one sentence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This crypto strategy has a genuine edge and beats simply holding Bitcoin — but its gains lean heavily on one boom year and it can still lose about 45%, so it belongs as a small, eyes-open sleeve, not a core holding.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— deploy small. (An earlier drawdown limit that would have blocked it was judged wrong for crypto and removed; that is on the record.)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</w:pPr>
      <w:r>
        <w:t xml:space="preserve">1. The questions, and the answers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The question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The answer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How it was tested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 the edge real, or luck from trying many versions?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— it survives a penalty for the ~50 versions tried.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Deflated Sharpe (edge after charging for the search)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Would we have picked these settings in advance?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— re-choosing them each year barely changes the result.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Expanding-window walk-forward, 60 settings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Does it beat just holding crypto?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— better return per unit of risk, and half the drawdown.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Versus Bitcoin and a 60/40 Bitcoin-Ether mix, after fees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is the catch?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year (2021) does most of the work, the test universe flatters it, and it is in a bad patch now.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Universe audit + year-by-year + recent-patch autopsy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Terms: 'risk-adjusted return' = return per unit of price swings, higher is better (Bitcoin ≈ 0.6, this strategy ≈ 1.35). 'Drawdown' = worst peak-to-trough loss. 'Sleeve' = a small book within a larger portfolio.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</w:pPr>
      <w:r>
        <w:t xml:space="preserve">2. What we found</w:t>
      </w:r>
    </w:p>
    <w:p>
      <w:pPr>
        <w:pStyle w:val="Heading2"/>
      </w:pPr>
      <w:r>
        <w:t xml:space="preserve">2.1 It beats simply holding crypto</w:t>
      </w:r>
    </w:p>
    <w:p>
      <w:pPr>
        <w:spacing w:after="120" w:before="0"/>
      </w:pPr>
      <w:r>
        <w:t xml:space="preserve">Over 2018–2026 the strategy compounded far above Bitcoin and a 60/40 Bitcoin-Ether mix, at a better return-per-risk (1.35 versus 0.6).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equity_vs_passive.png" descr="Growth of $1, log scale (each gridline is 10×). The dark line is the strategy; red is Bitcoin, teal is 60/40. Higher is better." title="Growth of $1, log scale (each gridline is 10×). The dark line is the strategy; red is Bitcoin, teal is 60/40. Higher is bet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Growth of $1, log scale (each gridline is 10×). The dark line is the strategy; red is Bitcoin, teal is 60/40. Higher is better.</w:t>
      </w:r>
    </w:p>
    <w:p>
      <w:pPr>
        <w:pStyle w:val="Heading2"/>
      </w:pPr>
      <w:r>
        <w:t xml:space="preserve">2.2 Its worst loss is about half of Bitcoin's</w:t>
      </w:r>
    </w:p>
    <w:p>
      <w:pPr>
        <w:spacing w:after="120" w:before="0"/>
      </w:pPr>
      <w:r>
        <w:t xml:space="preserve">The strategy's deepest fall is about −45%, versus roughly −81% for holding Bitcoin — deep in absolute terms, but far shallower than passive crypto.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drawdown_vs_btc.png" descr="How far below the previous high each sits, over time. Shallower (closer to zero) is better; the strategy (dark) stays well above Bitcoin (red)." title="How far below the previous high each sits, over time. Shallower (closer to zero) is better; the strategy (dark) stays well above Bitcoin (r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How far below the previous high each sits, over time. Shallower (closer to zero) is better; the strategy (dark) stays well above Bitcoin (red).</w:t>
      </w:r>
    </w:p>
    <w:p>
      <w:pPr>
        <w:pStyle w:val="Heading2"/>
      </w:pPr>
      <w:r>
        <w:t xml:space="preserve">2.3 But one boom year does most of the work</w:t>
      </w:r>
    </w:p>
    <w:p>
      <w:pPr>
        <w:spacing w:after="120" w:before="0"/>
      </w:pPr>
      <w:r>
        <w:t xml:space="preserve">2021 returned about +1882% and dominates the whole record; strip it out and the edge is far more ordinary — a reason to size the position modestly.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409825"/>
            <wp:effectExtent t="0" r="0" b="0" l="0"/>
            <wp:docPr id="1" name="annual_returns.png" descr="Return each calendar year (compressed scale so small and huge years both show). One year dwarfs the rest." title="Return each calendar year (compressed scale so small and huge years both show). One year dwarfs the re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Return each calendar year (compressed scale so small and huge years both show). One year dwarfs the rest.</w:t>
      </w:r>
    </w:p>
    <w:p>
      <w:pPr>
        <w:pStyle w:val="Heading2"/>
      </w:pPr>
      <w:r>
        <w:t xml:space="preserve">2.4 The edge is not a fluke of trying many versions</w:t>
      </w:r>
    </w:p>
    <w:p>
      <w:pPr>
        <w:spacing w:after="120" w:before="0"/>
      </w:pPr>
      <w:r>
        <w:t xml:space="preserve">After charging for the roughly fifty strategy versions explored, the edge is still overwhelmingly likely to be real (well above the usual confidence bar).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dsr_vs_n.png" descr="Confidence the edge is real (vertical) as we assume more versions were tried (horizontal). It stays near-certain even at 200; the dashed line is the usual 95% bar." title="Confidence the edge is real (vertical) as we assume more versions were tried (horizontal). It stays near-certain even at 200; the dashed line is the usual 95% b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Confidence the edge is real (vertical) as we assume more versions were tried (horizontal). It stays near-certain even at 200; the dashed line is the usual 95% bar.</w:t>
      </w:r>
    </w:p>
    <w:p>
      <w:pPr>
        <w:pStyle w:val="Heading1"/>
        <w:pageBreakBefore/>
      </w:pPr>
      <w:r>
        <w:t xml:space="preserve">3. The work behind this summary</w:t>
      </w:r>
    </w:p>
    <w:p>
      <w:pPr>
        <w:spacing w:after="120" w:before="0"/>
      </w:pPr>
      <w:r>
        <w:t xml:space="preserve">Ninety-five strategy versions were tested across five lines of attack. None changed the production settings; two proposed 'improvements' (concentrating the coins, and a Bitcoin-Ether-only trend engine) were tested and rejected, and the core risk filter was confirmed as the most important part.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scope_funnel.png" descr="Versions tested per line of attack. The point is restraint: a large search did not move the live settings, and the two candidate changes did not survive." title="Versions tested per line of attack. The point is restraint: a large search did not move the live settings, and the two candidate changes did not surv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Versions tested per line of attack. The point is restraint: a large search did not move the live settings, and the two candidate changes did not survive.</w:t>
      </w:r>
    </w:p>
    <w:p>
      <w:pPr>
        <w:spacing w:after="120" w:before="0"/>
      </w:pPr>
      <w:r>
        <w:t xml:space="preserve">Full detail and every figure sit in the technical record </w:t>
      </w:r>
      <w:r>
        <w:rPr>
          <w:i/>
          <w:iCs/>
        </w:rPr>
        <w:t xml:space="preserve">(2026-07-04_phaseB-C3-C4_v3.1-robustness-review.docx)</w:t>
      </w:r>
      <w:r>
        <w:t xml:space="preserve"> and the public repository / dashboard (phuazz.github.io/crypto-breadth).</w:t>
      </w:r>
    </w:p>
    <w:p>
      <w:pPr>
        <w:spacing w:after="100" w:before="0"/>
      </w:pPr>
      <w:r>
        <w:t xml:space="preserve"/>
      </w:r>
    </w:p>
    <w:p>
      <w:pPr>
        <w:spacing w:after="120" w:before="0"/>
      </w:pPr>
      <w:r>
        <w:rPr>
          <w:i/>
          <w:iCs/>
          <w:color w:val="777777"/>
          <w:sz w:val="17"/>
          <w:szCs w:val="17"/>
        </w:rPr>
        <w:t xml:space="preserve">Personal research artefact. All figures are simulated backtests, net of fees, and carry a documented optimistic bias (the test universe excludes coins that later died); nothing here is investment advice.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08080"/>
        <w:sz w:val="16"/>
        <w:szCs w:val="16"/>
      </w:rPr>
      <w:t xml:space="preserve">Crypto-Breadth v3.1 — plain-language summary</w:t>
    </w:r>
    <w:r>
      <w:rPr>
        <w:color w:val="808080"/>
        <w:sz w:val="16"/>
        <w:szCs w:val="16"/>
      </w:rPr>
      <w:t xml:space="preserve">	Personal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4B7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8d5b2dec2d7a85fb67eed02aad59b4f9ee58df7.png"/><Relationship Id="rId10" Type="http://schemas.openxmlformats.org/officeDocument/2006/relationships/image" Target="media/f9e24f8fcbd16c373545fa2c12a22e3aee58703b.png"/><Relationship Id="rId11" Type="http://schemas.openxmlformats.org/officeDocument/2006/relationships/image" Target="media/7a8049df27ad21017dff032800d3f772ad510903.png"/><Relationship Id="rId12" Type="http://schemas.openxmlformats.org/officeDocument/2006/relationships/image" Target="media/21a64f478f8ae6512c7d7e052f2a963cf5402e24.png"/><Relationship Id="rId13" Type="http://schemas.openxmlformats.org/officeDocument/2006/relationships/image" Target="media/eb32acfe1b2dba9dd796f3ab031cdfc1c60e20d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2026-07-04T02:26:57.831Z</dcterms:created>
  <dcterms:modified xsi:type="dcterms:W3CDTF">2026-07-04T02:26:57.831Z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