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Rayner Teo: Can a 5-Minute Monthly Rotation Beat Buy-and-Hold?</w:t>
      </w:r>
    </w:p>
    <w:p>
      <w:pPr>
        <w:spacing w:after="40"/>
      </w:pPr>
      <w:r>
        <w:rPr>
          <w:b w:val="0"/>
          <w:i/>
        </w:rPr>
        <w:t xml:space="preserve">Trading with Rayner (YouTube) </w:t>
      </w:r>
      <w:r>
        <w:rPr>
          <w:b w:val="0"/>
          <w:i/>
        </w:rPr>
        <w:t>— recorded circa July 2025</w:t>
      </w:r>
    </w:p>
    <w:p>
      <w:pPr>
        <w:spacing w:after="40"/>
      </w:pPr>
      <w:r>
        <w:rPr>
          <w:b w:val="0"/>
          <w:i/>
        </w:rPr>
        <w:t xml:space="preserve">Source: </w:t>
      </w:r>
      <w:r>
        <w:rPr>
          <w:b w:val="0"/>
          <w:i/>
        </w:rPr>
        <w:t>https://www.youtube.com/watch?v=XFTL5m5EbUY</w:t>
      </w:r>
    </w:p>
    <w:p>
      <w:pPr>
        <w:spacing w:after="240"/>
      </w:pPr>
      <w:r>
        <w:rPr>
          <w:b w:val="0"/>
          <w:i/>
        </w:rPr>
        <w:t>Prepared: 28 April 2026 (Monday)</w:t>
      </w:r>
    </w:p>
    <w:p>
      <w:pPr>
        <w:pStyle w:val="Heading2"/>
      </w:pPr>
      <w:r>
        <w:t>Elevator</w:t>
      </w:r>
    </w:p>
    <w:p>
      <w:pPr>
        <w:pStyle w:val="ListBullet"/>
      </w:pPr>
      <w:r>
        <w:rPr>
          <w:b w:val="0"/>
          <w:i w:val="0"/>
        </w:rPr>
        <w:t xml:space="preserve">Teo presents a four-asset monthly momentum rotation system (GLD, SPY, TLT, DBC) that returned </w:t>
      </w:r>
      <w:r>
        <w:rPr>
          <w:b/>
          <w:i w:val="0"/>
        </w:rPr>
        <w:t>535% since 2006 with a 22% maximum drawdown</w:t>
      </w:r>
      <w:r>
        <w:rPr>
          <w:b w:val="0"/>
          <w:i w:val="0"/>
        </w:rPr>
        <w:t>, roughly matching S&amp;P 500 returns at less than half the peak-to-trough risk.</w:t>
      </w:r>
    </w:p>
    <w:p>
      <w:pPr>
        <w:pStyle w:val="ListBullet"/>
      </w:pPr>
      <w:r>
        <w:rPr>
          <w:b w:val="0"/>
          <w:i w:val="0"/>
        </w:rPr>
        <w:t xml:space="preserve">The mechanism is deliberately simple: rank the four ETFs by 12-month rate of change, filter for those above the 200-day moving average, and hold the top two at equal weight. </w:t>
      </w:r>
      <w:r>
        <w:rPr>
          <w:b/>
          <w:i w:val="0"/>
        </w:rPr>
        <w:t>Rebalance on the first trading day of each month</w:t>
      </w:r>
      <w:r>
        <w:rPr>
          <w:b w:val="0"/>
          <w:i w:val="0"/>
        </w:rPr>
        <w:t>; total time commitment is under ten minutes.</w:t>
      </w:r>
    </w:p>
    <w:p>
      <w:pPr>
        <w:pStyle w:val="ListBullet"/>
      </w:pPr>
      <w:r>
        <w:rPr>
          <w:b w:val="0"/>
          <w:i w:val="0"/>
        </w:rPr>
        <w:t xml:space="preserve">For a multi-asset allocator, the system is less a standalone strategy than a </w:t>
      </w:r>
      <w:r>
        <w:rPr>
          <w:b/>
          <w:i w:val="0"/>
        </w:rPr>
        <w:t>useful base-case benchmark for tactical rotation</w:t>
      </w:r>
      <w:r>
        <w:rPr>
          <w:b w:val="0"/>
          <w:i w:val="0"/>
        </w:rPr>
        <w:t>. Its real value is demonstrating that crisis-period drawdown compression (2008: +15%, 2020: +18%) comes from asset-class breadth, not timing skill.</w:t>
      </w:r>
    </w:p>
    <w:p>
      <w:pPr>
        <w:pStyle w:val="Heading2"/>
      </w:pPr>
      <w:r>
        <w:t>Context</w:t>
      </w:r>
    </w:p>
    <w:p>
      <w:r>
        <w:t>Rayner Teo is a Singapore-based independent trader, former proprietary trader, and founder of TradingwithRayner Pte Ltd, a trading education platform. In this tutorial-format video, he walks retail traders through a complete momentum rotation system designed for minimal time commitment. The core framing device is accessibility: Teo positions the system as a near-passive alternative to buy-and-hold, requiring only a monthly check of four ETF tickers on TradingView. He backtests from 2006 (the earliest date all four ETFs were listed) through 2024, capturing the 2008 financial crisis, COVID, and the 2022 rate shock. The strongest single claim is that the system matched S&amp;P 500 annualised returns at roughly 10% per year while capping drawdown at 22%, compared with 55%+ for passive equity exposure.</w:t>
      </w:r>
    </w:p>
    <w:p>
      <w:pPr>
        <w:pStyle w:val="Heading2"/>
      </w:pPr>
      <w:r>
        <w:t>Themes</w:t>
      </w:r>
    </w:p>
    <w:p>
      <w:pPr>
        <w:pStyle w:val="Heading3"/>
      </w:pPr>
      <w:r>
        <w:t>Momentum as relative strength, not trend-following</w:t>
      </w:r>
    </w:p>
    <w:p>
      <w:r>
        <w:t xml:space="preserve">Teo defines momentum purely as the percentage price change over a trailing 12-month window, measured by the rate-of-change (ROC) indicator on a monthly chart. This is a cross-sectional ranking exercise rather than a time-series signal: the system does not ask whether an asset is trending up in absolute terms (the 200-day moving average filter handles that separately) but which assets have appreciated the most relative to the others. The distinction matters because it means the system can rotate into defensive assets like gold or bonds during equity drawdowns, provided those assets are themselves in uptrends. </w:t>
      </w:r>
      <w:r>
        <w:rPr>
          <w:b/>
          <w:i w:val="0"/>
        </w:rPr>
        <w:t>The 200-day filter acts as a binary gate, not a sizing input</w:t>
      </w:r>
      <w:r>
        <w:t>; an ETF is either eligible or excluded, with no partial allocation.</w:t>
      </w:r>
    </w:p>
    <w:p>
      <w:pPr>
        <w:pStyle w:val="Heading3"/>
      </w:pPr>
      <w:r>
        <w:t>Concentrated allocation as a feature</w:t>
      </w:r>
    </w:p>
    <w:p>
      <w:r>
        <w:t xml:space="preserve">The system holds a maximum of two positions at 50% capital each. Teo treats this as a simplicity advantage, but it also means the portfolio is binary in its risk exposure at any given month. When both slots are filled by the same pair for consecutive months (as Teo notes happened with GLD and SPY through much of mid-2025), the system generates no trades and functions as a static allocation. </w:t>
      </w:r>
      <w:r>
        <w:rPr>
          <w:b/>
          <w:i w:val="0"/>
        </w:rPr>
        <w:t>Turnover is therefore episodic rather than constant</w:t>
      </w:r>
      <w:r>
        <w:t>, clustering around regime shifts when one asset drops below the 200-day average or is overtaken in the ROC ranking. This makes the system tax-efficient in stable trends but vulnerable to whipsaw in choppy, range-bound markets where rankings flip month to month.</w:t>
      </w:r>
    </w:p>
    <w:p>
      <w:pPr>
        <w:pStyle w:val="Heading3"/>
      </w:pPr>
      <w:r>
        <w:t>Crisis-period resilience through asset-class breadth</w:t>
      </w:r>
    </w:p>
    <w:p>
      <w:r>
        <w:t xml:space="preserve">The headline backtest numbers lean heavily on the system's ability to sidestep equity drawdowns by rotating into gold, bonds, or commodities. Teo cites 2008 (+15%), 2020 (+18%), and 2022 (-3%) as evidence. The mechanism is straightforward: when equities fall below the 200-day average, SPY becomes ineligible, and capital flows to whichever safe-haven assets retain their uptrends. </w:t>
      </w:r>
      <w:r>
        <w:rPr>
          <w:b/>
          <w:i w:val="0"/>
        </w:rPr>
        <w:t>The 2022 result (-3%) is the most instructive stress test</w:t>
      </w:r>
      <w:r>
        <w:t>, because that year saw simultaneous declines in equities and long-duration bonds, leaving only gold and commodities as eligible assets. The system survived but did not thrive, suggesting that a four-asset universe is the minimum viable diversification for this approach.</w:t>
      </w:r>
    </w:p>
    <w:p>
      <w:pPr>
        <w:pStyle w:val="Heading3"/>
      </w:pPr>
      <w:r>
        <w:t>Limitations Teo acknowledges (and one he does not)</w:t>
      </w:r>
    </w:p>
    <w:p>
      <w:r>
        <w:t xml:space="preserve">Teo is candid that the system's returns are "average" at roughly 10% annualised and that active traders will find the monthly cadence boring. He correctly notes that applying momentum to single stocks would raise returns (and risk). What he does not address is the sensitivity of the backtest to the specific four-ETF universe chosen. </w:t>
      </w:r>
      <w:r>
        <w:rPr>
          <w:b/>
          <w:i w:val="0"/>
        </w:rPr>
        <w:t>Substituting different bond or commodity proxies would likely alter the equity curve materially</w:t>
      </w:r>
      <w:r>
        <w:t>, particularly through 2022 when TLT's duration exposure was a significant drag. The backtest also assumes execution at the first trading day's close with no slippage, which is reasonable for these liquid ETFs but should be stated explicitly.</w:t>
      </w:r>
    </w:p>
    <w:p>
      <w:pPr>
        <w:pStyle w:val="Heading2"/>
      </w:pPr>
      <w:r>
        <w:t>Market Implications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2C3E50" w:val="clear"/>
          </w:tcPr>
          <w:p>
            <w:r/>
            <w:r>
              <w:rPr>
                <w:rFonts w:ascii="Calibri" w:hAnsi="Calibri"/>
                <w:b/>
                <w:color w:val="FFFFFF"/>
                <w:sz w:val="18"/>
              </w:rPr>
              <w:t>Theme</w:t>
            </w:r>
          </w:p>
        </w:tc>
        <w:tc>
          <w:tcPr>
            <w:tcW w:type="dxa" w:w="1701"/>
            <w:shd w:fill="2C3E50" w:val="clear"/>
          </w:tcPr>
          <w:p>
            <w:r/>
            <w:r>
              <w:rPr>
                <w:rFonts w:ascii="Calibri" w:hAnsi="Calibri"/>
                <w:b/>
                <w:color w:val="FFFFFF"/>
                <w:sz w:val="18"/>
              </w:rPr>
              <w:t>Signal</w:t>
            </w:r>
          </w:p>
        </w:tc>
        <w:tc>
          <w:tcPr>
            <w:tcW w:type="dxa" w:w="1417"/>
            <w:shd w:fill="2C3E50" w:val="clear"/>
          </w:tcPr>
          <w:p>
            <w:r/>
            <w:r>
              <w:rPr>
                <w:rFonts w:ascii="Calibri" w:hAnsi="Calibri"/>
                <w:b/>
                <w:color w:val="FFFFFF"/>
                <w:sz w:val="18"/>
              </w:rPr>
              <w:t>Direct Tickers</w:t>
            </w:r>
          </w:p>
        </w:tc>
        <w:tc>
          <w:tcPr>
            <w:tcW w:type="dxa" w:w="1417"/>
            <w:shd w:fill="2C3E50" w:val="clear"/>
          </w:tcPr>
          <w:p>
            <w:r/>
            <w:r>
              <w:rPr>
                <w:rFonts w:ascii="Calibri" w:hAnsi="Calibri"/>
                <w:b/>
                <w:color w:val="FFFFFF"/>
                <w:sz w:val="18"/>
              </w:rPr>
              <w:t>Theme Baskets</w:t>
            </w:r>
          </w:p>
        </w:tc>
        <w:tc>
          <w:tcPr>
            <w:tcW w:type="dxa" w:w="3685"/>
            <w:shd w:fill="2C3E50" w:val="clear"/>
          </w:tcPr>
          <w:p>
            <w:r/>
            <w:r>
              <w:rPr>
                <w:rFonts w:ascii="Calibri" w:hAnsi="Calibri"/>
                <w:b/>
                <w:color w:val="FFFFFF"/>
                <w:sz w:val="18"/>
              </w:rPr>
              <w:t>Current Read</w:t>
            </w:r>
          </w:p>
        </w:tc>
      </w:tr>
      <w:tr>
        <w:tc>
          <w:tcPr>
            <w:tcW w:type="dxa" w:w="1417"/>
          </w:tcPr>
          <w:p>
            <w:r/>
            <w:r>
              <w:rPr>
                <w:rFonts w:ascii="Calibri" w:hAnsi="Calibri"/>
                <w:b/>
                <w:sz w:val="18"/>
              </w:rPr>
              <w:t>Gold momentum</w:t>
            </w:r>
          </w:p>
        </w:tc>
        <w:tc>
          <w:tcPr>
            <w:tcW w:type="dxa" w:w="1701"/>
            <w:shd w:fill="E8F3E8" w:val="clear"/>
          </w:tcPr>
          <w:p>
            <w:r/>
            <w:r>
              <w:rPr>
                <w:rFonts w:ascii="Calibri" w:hAnsi="Calibri"/>
                <w:b w:val="0"/>
                <w:sz w:val="18"/>
              </w:rPr>
              <w:t>Positive for GLD</w:t>
            </w:r>
          </w:p>
        </w:tc>
        <w:tc>
          <w:tcPr>
            <w:tcW w:type="dxa" w:w="1417"/>
          </w:tcPr>
          <w:p>
            <w:r/>
            <w:r>
              <w:rPr>
                <w:rFonts w:ascii="Calibri" w:hAnsi="Calibri"/>
                <w:b w:val="0"/>
                <w:sz w:val="18"/>
              </w:rPr>
              <w:t>GLD, IAU</w:t>
            </w:r>
          </w:p>
        </w:tc>
        <w:tc>
          <w:tcPr>
            <w:tcW w:type="dxa" w:w="1417"/>
          </w:tcPr>
          <w:p>
            <w:r/>
            <w:r>
              <w:rPr>
                <w:rFonts w:ascii="Calibri" w:hAnsi="Calibri"/>
                <w:b w:val="0"/>
                <w:sz w:val="18"/>
              </w:rPr>
              <w:t>GDX, RING</w:t>
            </w:r>
          </w:p>
        </w:tc>
        <w:tc>
          <w:tcPr>
            <w:tcW w:type="dxa" w:w="3685"/>
          </w:tcPr>
          <w:p>
            <w:r/>
            <w:r>
              <w:rPr>
                <w:rFonts w:ascii="Calibri" w:hAnsi="Calibri"/>
                <w:b w:val="0"/>
                <w:sz w:val="18"/>
              </w:rPr>
              <w:t>GLD up 42% over trailing 12 months; trading near $430 after touching $510 in March. Momentum ranking would place gold first among the four ETFs.</w:t>
            </w:r>
          </w:p>
        </w:tc>
      </w:tr>
      <w:tr>
        <w:tc>
          <w:tcPr>
            <w:tcW w:type="dxa" w:w="1417"/>
          </w:tcPr>
          <w:p>
            <w:r/>
            <w:r>
              <w:rPr>
                <w:rFonts w:ascii="Calibri" w:hAnsi="Calibri"/>
                <w:b/>
                <w:sz w:val="18"/>
              </w:rPr>
              <w:t>Equity trend</w:t>
            </w:r>
          </w:p>
        </w:tc>
        <w:tc>
          <w:tcPr>
            <w:tcW w:type="dxa" w:w="1701"/>
            <w:shd w:fill="E8F3E8" w:val="clear"/>
          </w:tcPr>
          <w:p>
            <w:r/>
            <w:r>
              <w:rPr>
                <w:rFonts w:ascii="Calibri" w:hAnsi="Calibri"/>
                <w:b w:val="0"/>
                <w:sz w:val="18"/>
              </w:rPr>
              <w:t>Positive for SPY</w:t>
            </w:r>
          </w:p>
        </w:tc>
        <w:tc>
          <w:tcPr>
            <w:tcW w:type="dxa" w:w="1417"/>
          </w:tcPr>
          <w:p>
            <w:r/>
            <w:r>
              <w:rPr>
                <w:rFonts w:ascii="Calibri" w:hAnsi="Calibri"/>
                <w:b w:val="0"/>
                <w:sz w:val="18"/>
              </w:rPr>
              <w:t>SPY, VOO</w:t>
            </w:r>
          </w:p>
        </w:tc>
        <w:tc>
          <w:tcPr>
            <w:tcW w:type="dxa" w:w="1417"/>
          </w:tcPr>
          <w:p>
            <w:r/>
            <w:r>
              <w:rPr>
                <w:rFonts w:ascii="Calibri" w:hAnsi="Calibri"/>
                <w:b w:val="0"/>
                <w:sz w:val="18"/>
              </w:rPr>
              <w:t>QQQ, VTI</w:t>
            </w:r>
          </w:p>
        </w:tc>
        <w:tc>
          <w:tcPr>
            <w:tcW w:type="dxa" w:w="3685"/>
          </w:tcPr>
          <w:p>
            <w:r/>
            <w:r>
              <w:rPr>
                <w:rFonts w:ascii="Calibri" w:hAnsi="Calibri"/>
                <w:b w:val="0"/>
                <w:sz w:val="18"/>
              </w:rPr>
              <w:t>SPY at $716, up 31% year-on-year. Above the 200-day MA. Would rank second behind gold in the current rotation.</w:t>
            </w:r>
          </w:p>
        </w:tc>
      </w:tr>
      <w:tr>
        <w:tc>
          <w:tcPr>
            <w:tcW w:type="dxa" w:w="1417"/>
          </w:tcPr>
          <w:p>
            <w:r/>
            <w:r>
              <w:rPr>
                <w:rFonts w:ascii="Calibri" w:hAnsi="Calibri"/>
                <w:b/>
                <w:sz w:val="18"/>
              </w:rPr>
              <w:t>Commodities surge</w:t>
            </w:r>
          </w:p>
        </w:tc>
        <w:tc>
          <w:tcPr>
            <w:tcW w:type="dxa" w:w="1701"/>
            <w:shd w:fill="E8F3E8" w:val="clear"/>
          </w:tcPr>
          <w:p>
            <w:r/>
            <w:r>
              <w:rPr>
                <w:rFonts w:ascii="Calibri" w:hAnsi="Calibri"/>
                <w:b w:val="0"/>
                <w:sz w:val="18"/>
              </w:rPr>
              <w:t>Positive for DBC</w:t>
            </w:r>
          </w:p>
        </w:tc>
        <w:tc>
          <w:tcPr>
            <w:tcW w:type="dxa" w:w="1417"/>
          </w:tcPr>
          <w:p>
            <w:r/>
            <w:r>
              <w:rPr>
                <w:rFonts w:ascii="Calibri" w:hAnsi="Calibri"/>
                <w:b w:val="0"/>
                <w:sz w:val="18"/>
              </w:rPr>
              <w:t>DBC, PDBC</w:t>
            </w:r>
          </w:p>
        </w:tc>
        <w:tc>
          <w:tcPr>
            <w:tcW w:type="dxa" w:w="1417"/>
          </w:tcPr>
          <w:p>
            <w:r/>
            <w:r>
              <w:rPr>
                <w:rFonts w:ascii="Calibri" w:hAnsi="Calibri"/>
                <w:b w:val="0"/>
                <w:sz w:val="18"/>
              </w:rPr>
              <w:t>GSG, COMT</w:t>
            </w:r>
          </w:p>
        </w:tc>
        <w:tc>
          <w:tcPr>
            <w:tcW w:type="dxa" w:w="3685"/>
          </w:tcPr>
          <w:p>
            <w:r/>
            <w:r>
              <w:rPr>
                <w:rFonts w:ascii="Calibri" w:hAnsi="Calibri"/>
                <w:b w:val="0"/>
                <w:sz w:val="18"/>
              </w:rPr>
              <w:t>DBC up 46% trailing 12 months, near 52-week highs at $30. Strong ROC but only enters the rotation if gold or equities falter.</w:t>
            </w:r>
          </w:p>
        </w:tc>
      </w:tr>
      <w:tr>
        <w:tc>
          <w:tcPr>
            <w:tcW w:type="dxa" w:w="1417"/>
          </w:tcPr>
          <w:p>
            <w:r/>
            <w:r>
              <w:rPr>
                <w:rFonts w:ascii="Calibri" w:hAnsi="Calibri"/>
                <w:b/>
                <w:sz w:val="18"/>
              </w:rPr>
              <w:t>Duration risk</w:t>
            </w:r>
          </w:p>
        </w:tc>
        <w:tc>
          <w:tcPr>
            <w:tcW w:type="dxa" w:w="1701"/>
            <w:shd w:fill="F7E6E6" w:val="clear"/>
          </w:tcPr>
          <w:p>
            <w:r/>
            <w:r>
              <w:rPr>
                <w:rFonts w:ascii="Calibri" w:hAnsi="Calibri"/>
                <w:b w:val="0"/>
                <w:sz w:val="18"/>
              </w:rPr>
              <w:t>Negative for TLT</w:t>
            </w:r>
          </w:p>
        </w:tc>
        <w:tc>
          <w:tcPr>
            <w:tcW w:type="dxa" w:w="1417"/>
          </w:tcPr>
          <w:p>
            <w:r/>
            <w:r>
              <w:rPr>
                <w:rFonts w:ascii="Calibri" w:hAnsi="Calibri"/>
                <w:b w:val="0"/>
                <w:sz w:val="18"/>
              </w:rPr>
              <w:t>TLT, VGLT</w:t>
            </w:r>
          </w:p>
        </w:tc>
        <w:tc>
          <w:tcPr>
            <w:tcW w:type="dxa" w:w="1417"/>
          </w:tcPr>
          <w:p>
            <w:r/>
            <w:r>
              <w:rPr>
                <w:rFonts w:ascii="Calibri" w:hAnsi="Calibri"/>
                <w:b w:val="0"/>
                <w:sz w:val="18"/>
              </w:rPr>
              <w:t>IEF, BND</w:t>
            </w:r>
          </w:p>
        </w:tc>
        <w:tc>
          <w:tcPr>
            <w:tcW w:type="dxa" w:w="3685"/>
          </w:tcPr>
          <w:p>
            <w:r/>
            <w:r>
              <w:rPr>
                <w:rFonts w:ascii="Calibri" w:hAnsi="Calibri"/>
                <w:b w:val="0"/>
                <w:sz w:val="18"/>
              </w:rPr>
              <w:t>TLT at $86, below the 200-day MA with a 52-week range of $84-$92. Currently excluded from the rotation by the trend filter. Yield at 4.87%.</w:t>
            </w:r>
          </w:p>
        </w:tc>
      </w:tr>
    </w:tbl>
    <w:p>
      <w:pPr>
        <w:spacing w:before="160"/>
      </w:pPr>
      <w:r>
        <w:t>Running Teo's system as of late April 2026, the rotation would hold GLD and SPY at 50% each, the same pair he identified in the video (recorded mid-2025). DBC's strong trailing performance makes it the first alternate if either gold or equities break their uptrend. TLT remains excluded by the 200-day filter, reflecting the persistent duration headwind from elevated long-end yields. The current positioning is therefore risk-on with a commodity hedge on standby.</w:t>
      </w:r>
    </w:p>
    <w:p>
      <w:pPr>
        <w:pStyle w:val="Heading2"/>
      </w:pPr>
      <w:r>
        <w:t>Caveats</w:t>
      </w:r>
    </w:p>
    <w:p>
      <w:pPr>
        <w:pStyle w:val="ListBullet"/>
      </w:pPr>
      <w:r>
        <w:t>Teo states the backtest runs from 2006 but does not specify the data source or whether dividends and distributions are reinvested. The 535% cumulative return and 10% annualised figure may or may not be total-return inclusive.</w:t>
      </w:r>
    </w:p>
    <w:p>
      <w:pPr>
        <w:pStyle w:val="ListBullet"/>
      </w:pPr>
      <w:r>
        <w:t>The recording date is inferred as circa July 2025 from Teo's reference to "the 10th of July" as the current date. The exact upload date was not confirmed.</w:t>
      </w:r>
    </w:p>
    <w:p>
      <w:pPr>
        <w:pStyle w:val="ListBullet"/>
      </w:pPr>
      <w:r>
        <w:t>No transaction costs, slippage, or tax treatment are incorporated in the reported backtest results. For these liquid ETFs the omission is minor, but it is not zero.</w:t>
      </w:r>
    </w:p>
    <w:p>
      <w:pPr>
        <w:pStyle w:val="ListBullet"/>
      </w:pPr>
      <w:r>
        <w:t>Teo is the founder of TradingwithRayner Pte Ltd, a trading education business. The video serves as a funnel to a free training course and associated lead capture. This does not invalidate the strategy but establishes a commercial incentive to present it favourably.</w:t>
      </w:r>
    </w:p>
    <w:p>
      <w:pPr>
        <w:pStyle w:val="ListBullet"/>
      </w:pPr>
      <w:r>
        <w:t>The four-ETF universe (GLD, SPY, TLT, DBC) is presented as given, with no discussion of why these four were selected over alternatives (e.g., EFA, EEM, BIL, AGG) or how sensitive the results are to the universe definition.</w:t>
      </w:r>
    </w:p>
    <w:p>
      <w:pPr>
        <w:pStyle w:val="Heading2"/>
      </w:pPr>
      <w:r>
        <w:t>Sources</w:t>
      </w:r>
    </w:p>
    <w:p>
      <w:pPr>
        <w:spacing w:after="40"/>
      </w:pPr>
      <w:r>
        <w:t>1. Yahoo Finance — SPDR Gold Shares (GLD) quote and historical data. https://finance.yahoo.com/quote/GLD/</w:t>
      </w:r>
    </w:p>
    <w:p>
      <w:pPr>
        <w:spacing w:after="40"/>
      </w:pPr>
      <w:r>
        <w:t>2. Yahoo Finance — SPDR S&amp;P 500 ETF Trust (SPY) quote. https://finance.yahoo.com/quote/SPY/</w:t>
      </w:r>
    </w:p>
    <w:p>
      <w:pPr>
        <w:spacing w:after="40"/>
      </w:pPr>
      <w:r>
        <w:t>3. Yahoo Finance — iShares 20+ Year Treasury Bond ETF (TLT) quote. https://finance.yahoo.com/quote/TLT/</w:t>
      </w:r>
    </w:p>
    <w:p>
      <w:pPr>
        <w:spacing w:after="40"/>
      </w:pPr>
      <w:r>
        <w:t>4. Yahoo Finance — Invesco DB Commodity Index Tracking Fund (DBC) quote. https://finance.yahoo.com/quote/DBC/</w:t>
      </w:r>
    </w:p>
    <w:p>
      <w:pPr>
        <w:spacing w:after="40"/>
      </w:pPr>
      <w:r>
        <w:t>5. iShares — TLT fund page, NAV and yield data. https://www.ishares.com/us/products/239454/ishares-20-year-treasury-bond-etf</w:t>
      </w:r>
    </w:p>
    <w:p>
      <w:pPr>
        <w:spacing w:after="40"/>
      </w:pPr>
      <w:r>
        <w:t>6. TradingwithRayner — Essential Guide to Momentum Trading. https://www.tradingwithrayner.com/essential-guide-to-momentum-trading/</w:t>
      </w:r>
    </w:p>
    <w:p>
      <w:pPr>
        <w:spacing w:after="40"/>
      </w:pPr>
      <w:r>
        <w:t>7. QuantifiedStrategies — Monthly Momentum Strategy in ETFs. https://www.quantifiedstrategies.com/a-monthly-momentum-strategy-in-etfs/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