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color w:val="666666"/>
          <w:sz w:val="20"/>
          <w:szCs w:val="20"/>
        </w:rPr>
      </w:pPr>
      <w:r>
        <w:rPr>
          <w:b/>
          <w:bCs/>
          <w:color w:val="666666"/>
          <w:sz w:val="20"/>
          <w:szCs w:val="20"/>
        </w:rPr>
        <w:t xml:space="preserve">CÔNG TY TNHH ÁNH DƯƠNG (DỮ LIỆU MẪU ĐỂ TEST)</w:t>
      </w:r>
    </w:p>
    <w:p>
      <w:pPr>
        <w:spacing w:after="80" w:before="200"/>
        <w:jc w:val="center"/>
      </w:pPr>
      <w:r>
        <w:rPr>
          <w:b/>
          <w:bCs/>
          <w:sz w:val="32"/>
          <w:szCs w:val="32"/>
        </w:rPr>
        <w:t xml:space="preserve">QUY ĐỊNH TẠM ỨNG, HOÀN ỨNG VÀ THANH TOÁN CHI PHÍ</w:t>
      </w:r>
    </w:p>
    <w:p>
      <w:pPr>
        <w:pBdr>
          <w:bottom w:val="single" w:color="BFBFBF" w:sz="6" w:space="6"/>
        </w:pBdr>
        <w:spacing w:after="120"/>
        <w:jc w:val="center"/>
        <w:rPr>
          <w:i/>
          <w:iCs/>
          <w:color w:val="666666"/>
          <w:sz w:val="20"/>
          <w:szCs w:val="20"/>
        </w:rPr>
      </w:pPr>
      <w:r>
        <w:rPr>
          <w:i/>
          <w:iCs/>
          <w:color w:val="666666"/>
          <w:sz w:val="20"/>
          <w:szCs w:val="20"/>
        </w:rPr>
        <w:t xml:space="preserve">Mã tài liệu: KT-QĐ-01 · Hiệu lực từ 01/01/2026 · Bộ phận ban hành: Phòng Kế toán</w:t>
      </w:r>
    </w:p>
    <w:p>
      <w:pPr>
        <w:spacing w:after="120"/>
        <w:rPr>
          <w:i/>
          <w:iCs/>
          <w:color w:val="C00000"/>
          <w:sz w:val="20"/>
          <w:szCs w:val="20"/>
        </w:rPr>
      </w:pPr>
      <w:r>
        <w:rPr>
          <w:i/>
          <w:iCs/>
          <w:color w:val="C00000"/>
          <w:sz w:val="20"/>
          <w:szCs w:val="20"/>
        </w:rPr>
        <w:t xml:space="preserve">Lưu ý: đây là tài liệu MẪU, soạn ra chỉ để thử chatbot. Số liệu và quy định không phải của công ty thật.</w:t>
      </w:r>
    </w:p>
    <w:p>
      <w:pPr>
        <w:pStyle w:val="Heading1"/>
        <w:spacing w:after="120" w:before="240"/>
      </w:pPr>
      <w:r>
        <w:t xml:space="preserve">Điều 1. Phạm vi áp dụng</w:t>
      </w:r>
    </w:p>
    <w:p>
      <w:pPr>
        <w:spacing w:after="120"/>
      </w:pPr>
      <w:r>
        <w:t xml:space="preserve">Quy định này áp dụng cho toàn bộ nhân viên chính thức và thử việc khi cần tạm ứng tiền để thực hiện công việc, hoặc đề nghị công ty thanh toán các khoản chi phí đã chi hộ.</w:t>
      </w:r>
    </w:p>
    <w:p>
      <w:pPr>
        <w:pStyle w:val="Heading1"/>
        <w:spacing w:after="120" w:before="240"/>
      </w:pPr>
      <w:r>
        <w:t xml:space="preserve">Điều 2. Tạm ứng</w:t>
      </w:r>
    </w:p>
    <w:p>
      <w:pPr>
        <w:pStyle w:val="Heading2"/>
        <w:spacing w:after="100" w:before="200"/>
      </w:pPr>
      <w:r>
        <w:t xml:space="preserve">2.1. Hồ sơ đề nghị tạm ứng</w:t>
      </w:r>
    </w:p>
    <w:p>
      <w:pPr>
        <w:pStyle w:val="ListParagraph"/>
        <w:numPr>
          <w:ilvl w:val="0"/>
          <w:numId w:val="2"/>
        </w:numPr>
        <w:spacing w:after="60"/>
      </w:pPr>
      <w:r>
        <w:t xml:space="preserve">Phiếu đề nghị tạm ứng theo mẫu KT-01, ghi rõ mục đích, số tiền và ngày dự kiến hoàn ứng.</w:t>
      </w:r>
    </w:p>
    <w:p>
      <w:pPr>
        <w:pStyle w:val="ListParagraph"/>
        <w:numPr>
          <w:ilvl w:val="0"/>
          <w:numId w:val="2"/>
        </w:numPr>
        <w:spacing w:after="60"/>
      </w:pPr>
      <w:r>
        <w:t xml:space="preserve">Quản lý trực tiếp ký duyệt trên phiếu hoặc duyệt trên hệ thống.</w:t>
      </w:r>
    </w:p>
    <w:p>
      <w:pPr>
        <w:pStyle w:val="ListParagraph"/>
        <w:numPr>
          <w:ilvl w:val="0"/>
          <w:numId w:val="2"/>
        </w:numPr>
        <w:spacing w:after="60"/>
      </w:pPr>
      <w:r>
        <w:t xml:space="preserve">Khoản tạm ứng trên 20.000.000 đồng phải có thêm chữ ký của Giám đốc.</w:t>
      </w:r>
    </w:p>
    <w:p>
      <w:pPr>
        <w:pStyle w:val="Heading2"/>
        <w:spacing w:after="100" w:before="200"/>
      </w:pPr>
      <w:r>
        <w:t xml:space="preserve">2.2. Thời hạn xử lý</w:t>
      </w:r>
    </w:p>
    <w:p>
      <w:pPr>
        <w:spacing w:after="120"/>
      </w:pPr>
      <w:r>
        <w:t xml:space="preserve">Phiếu nộp cho Phòng Kế toán trước 15h00 sẽ được xử lý trong ngày. Tiền tạm ứng được chuyển khoản vào tài khoản lương của nhân viên trong vòng 2 ngày làm việc kể từ khi phiếu được duyệt.</w:t>
      </w:r>
    </w:p>
    <w:p>
      <w:pPr>
        <w:pStyle w:val="Heading2"/>
        <w:spacing w:after="100" w:before="200"/>
      </w:pPr>
      <w:r>
        <w:t xml:space="preserve">2.3. Hạn mức tạm 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26"/>
        <w:gridCol w:w="2600"/>
      </w:tblGrid>
      <w:tr>
        <w:trPr>
          <w:tblHeader/>
        </w:trPr>
        <w:tc>
          <w:tcPr>
            <w:tcW w:type="dxa" w:w="3600"/>
            <w:shd w:fill="E8EEF7" w:color="auto" w:val="clear"/>
            <w:tcMar>
              <w:top w:type="dxa" w:w="60"/>
              <w:left w:type="dxa" w:w="100"/>
              <w:bottom w:type="dxa" w:w="60"/>
              <w:right w:type="dxa" w:w="100"/>
            </w:tcMar>
          </w:tcPr>
          <w:p>
            <w:r>
              <w:rPr>
                <w:b/>
                <w:bCs/>
              </w:rPr>
              <w:t xml:space="preserve">Mục đích</w:t>
            </w:r>
          </w:p>
        </w:tc>
        <w:tc>
          <w:tcPr>
            <w:tcW w:type="dxa" w:w="2826"/>
            <w:shd w:fill="E8EEF7" w:color="auto" w:val="clear"/>
            <w:tcMar>
              <w:top w:type="dxa" w:w="60"/>
              <w:left w:type="dxa" w:w="100"/>
              <w:bottom w:type="dxa" w:w="60"/>
              <w:right w:type="dxa" w:w="100"/>
            </w:tcMar>
          </w:tcPr>
          <w:p>
            <w:r>
              <w:rPr>
                <w:b/>
                <w:bCs/>
              </w:rPr>
              <w:t xml:space="preserve">Hạn mức tối đa mỗi lần</w:t>
            </w:r>
          </w:p>
        </w:tc>
        <w:tc>
          <w:tcPr>
            <w:tcW w:type="dxa" w:w="2600"/>
            <w:shd w:fill="E8EEF7" w:color="auto" w:val="clear"/>
            <w:tcMar>
              <w:top w:type="dxa" w:w="60"/>
              <w:left w:type="dxa" w:w="100"/>
              <w:bottom w:type="dxa" w:w="60"/>
              <w:right w:type="dxa" w:w="100"/>
            </w:tcMar>
          </w:tcPr>
          <w:p>
            <w:r>
              <w:rPr>
                <w:b/>
                <w:bCs/>
              </w:rPr>
              <w:t xml:space="preserve">Người duyệt</w:t>
            </w:r>
          </w:p>
        </w:tc>
      </w:tr>
      <w:tr>
        <w:tc>
          <w:tcPr>
            <w:tcW w:type="dxa" w:w="3600"/>
            <w:tcMar>
              <w:top w:type="dxa" w:w="60"/>
              <w:left w:type="dxa" w:w="100"/>
              <w:bottom w:type="dxa" w:w="60"/>
              <w:right w:type="dxa" w:w="100"/>
            </w:tcMar>
          </w:tcPr>
          <w:p>
            <w:r>
              <w:rPr>
                <w:b w:val="false"/>
                <w:bCs w:val="false"/>
              </w:rPr>
              <w:t xml:space="preserve">Công tác trong nước</w:t>
            </w:r>
          </w:p>
        </w:tc>
        <w:tc>
          <w:tcPr>
            <w:tcW w:type="dxa" w:w="2826"/>
            <w:tcMar>
              <w:top w:type="dxa" w:w="60"/>
              <w:left w:type="dxa" w:w="100"/>
              <w:bottom w:type="dxa" w:w="60"/>
              <w:right w:type="dxa" w:w="100"/>
            </w:tcMar>
          </w:tcPr>
          <w:p>
            <w:r>
              <w:rPr>
                <w:b w:val="false"/>
                <w:bCs w:val="false"/>
              </w:rPr>
              <w:t xml:space="preserve">10.000.000 đồng</w:t>
            </w:r>
          </w:p>
        </w:tc>
        <w:tc>
          <w:tcPr>
            <w:tcW w:type="dxa" w:w="2600"/>
            <w:tcMar>
              <w:top w:type="dxa" w:w="60"/>
              <w:left w:type="dxa" w:w="100"/>
              <w:bottom w:type="dxa" w:w="60"/>
              <w:right w:type="dxa" w:w="100"/>
            </w:tcMar>
          </w:tcPr>
          <w:p>
            <w:r>
              <w:rPr>
                <w:b w:val="false"/>
                <w:bCs w:val="false"/>
              </w:rPr>
              <w:t xml:space="preserve">Quản lý trực tiếp</w:t>
            </w:r>
          </w:p>
        </w:tc>
      </w:tr>
      <w:tr>
        <w:tc>
          <w:tcPr>
            <w:tcW w:type="dxa" w:w="3600"/>
            <w:tcMar>
              <w:top w:type="dxa" w:w="60"/>
              <w:left w:type="dxa" w:w="100"/>
              <w:bottom w:type="dxa" w:w="60"/>
              <w:right w:type="dxa" w:w="100"/>
            </w:tcMar>
          </w:tcPr>
          <w:p>
            <w:r>
              <w:rPr>
                <w:b w:val="false"/>
                <w:bCs w:val="false"/>
              </w:rPr>
              <w:t xml:space="preserve">Công tác nước ngoài</w:t>
            </w:r>
          </w:p>
        </w:tc>
        <w:tc>
          <w:tcPr>
            <w:tcW w:type="dxa" w:w="2826"/>
            <w:tcMar>
              <w:top w:type="dxa" w:w="60"/>
              <w:left w:type="dxa" w:w="100"/>
              <w:bottom w:type="dxa" w:w="60"/>
              <w:right w:type="dxa" w:w="100"/>
            </w:tcMar>
          </w:tcPr>
          <w:p>
            <w:r>
              <w:rPr>
                <w:b w:val="false"/>
                <w:bCs w:val="false"/>
              </w:rPr>
              <w:t xml:space="preserve">50.000.000 đồng</w:t>
            </w:r>
          </w:p>
        </w:tc>
        <w:tc>
          <w:tcPr>
            <w:tcW w:type="dxa" w:w="2600"/>
            <w:tcMar>
              <w:top w:type="dxa" w:w="60"/>
              <w:left w:type="dxa" w:w="100"/>
              <w:bottom w:type="dxa" w:w="60"/>
              <w:right w:type="dxa" w:w="100"/>
            </w:tcMar>
          </w:tcPr>
          <w:p>
            <w:r>
              <w:rPr>
                <w:b w:val="false"/>
                <w:bCs w:val="false"/>
              </w:rPr>
              <w:t xml:space="preserve">Giám đốc</w:t>
            </w:r>
          </w:p>
        </w:tc>
      </w:tr>
      <w:tr>
        <w:tc>
          <w:tcPr>
            <w:tcW w:type="dxa" w:w="3600"/>
            <w:tcMar>
              <w:top w:type="dxa" w:w="60"/>
              <w:left w:type="dxa" w:w="100"/>
              <w:bottom w:type="dxa" w:w="60"/>
              <w:right w:type="dxa" w:w="100"/>
            </w:tcMar>
          </w:tcPr>
          <w:p>
            <w:r>
              <w:rPr>
                <w:b w:val="false"/>
                <w:bCs w:val="false"/>
              </w:rPr>
              <w:t xml:space="preserve">Mua sắm văn phòng phẩm, vật tư nhỏ</w:t>
            </w:r>
          </w:p>
        </w:tc>
        <w:tc>
          <w:tcPr>
            <w:tcW w:type="dxa" w:w="2826"/>
            <w:tcMar>
              <w:top w:type="dxa" w:w="60"/>
              <w:left w:type="dxa" w:w="100"/>
              <w:bottom w:type="dxa" w:w="60"/>
              <w:right w:type="dxa" w:w="100"/>
            </w:tcMar>
          </w:tcPr>
          <w:p>
            <w:r>
              <w:rPr>
                <w:b w:val="false"/>
                <w:bCs w:val="false"/>
              </w:rPr>
              <w:t xml:space="preserve">5.000.000 đồng</w:t>
            </w:r>
          </w:p>
        </w:tc>
        <w:tc>
          <w:tcPr>
            <w:tcW w:type="dxa" w:w="2600"/>
            <w:tcMar>
              <w:top w:type="dxa" w:w="60"/>
              <w:left w:type="dxa" w:w="100"/>
              <w:bottom w:type="dxa" w:w="60"/>
              <w:right w:type="dxa" w:w="100"/>
            </w:tcMar>
          </w:tcPr>
          <w:p>
            <w:r>
              <w:rPr>
                <w:b w:val="false"/>
                <w:bCs w:val="false"/>
              </w:rPr>
              <w:t xml:space="preserve">Quản lý trực tiếp</w:t>
            </w:r>
          </w:p>
        </w:tc>
      </w:tr>
      <w:tr>
        <w:tc>
          <w:tcPr>
            <w:tcW w:type="dxa" w:w="3600"/>
            <w:tcMar>
              <w:top w:type="dxa" w:w="60"/>
              <w:left w:type="dxa" w:w="100"/>
              <w:bottom w:type="dxa" w:w="60"/>
              <w:right w:type="dxa" w:w="100"/>
            </w:tcMar>
          </w:tcPr>
          <w:p>
            <w:r>
              <w:rPr>
                <w:b w:val="false"/>
                <w:bCs w:val="false"/>
              </w:rPr>
              <w:t xml:space="preserve">Tổ chức sự kiện, hội thảo</w:t>
            </w:r>
          </w:p>
        </w:tc>
        <w:tc>
          <w:tcPr>
            <w:tcW w:type="dxa" w:w="2826"/>
            <w:tcMar>
              <w:top w:type="dxa" w:w="60"/>
              <w:left w:type="dxa" w:w="100"/>
              <w:bottom w:type="dxa" w:w="60"/>
              <w:right w:type="dxa" w:w="100"/>
            </w:tcMar>
          </w:tcPr>
          <w:p>
            <w:r>
              <w:rPr>
                <w:b w:val="false"/>
                <w:bCs w:val="false"/>
              </w:rPr>
              <w:t xml:space="preserve">30.000.000 đồng</w:t>
            </w:r>
          </w:p>
        </w:tc>
        <w:tc>
          <w:tcPr>
            <w:tcW w:type="dxa" w:w="2600"/>
            <w:tcMar>
              <w:top w:type="dxa" w:w="60"/>
              <w:left w:type="dxa" w:w="100"/>
              <w:bottom w:type="dxa" w:w="60"/>
              <w:right w:type="dxa" w:w="100"/>
            </w:tcMar>
          </w:tcPr>
          <w:p>
            <w:r>
              <w:rPr>
                <w:b w:val="false"/>
                <w:bCs w:val="false"/>
              </w:rPr>
              <w:t xml:space="preserve">Giám đốc</w:t>
            </w:r>
          </w:p>
        </w:tc>
      </w:tr>
    </w:tbl>
    <w:p>
      <w:pPr>
        <w:spacing w:after="120"/>
      </w:pPr>
      <w:r>
        <w:t xml:space="preserve"/>
      </w:r>
    </w:p>
    <w:p>
      <w:pPr>
        <w:spacing w:after="120"/>
      </w:pPr>
      <w:r>
        <w:t xml:space="preserve">Mỗi nhân viên chỉ được có tối đa 2 khoản tạm ứng chưa hoàn ứng cùng lúc. Chưa hoàn ứng khoản cũ quá hạn thì không được tạm ứng khoản mới.</w:t>
      </w:r>
    </w:p>
    <w:p>
      <w:pPr>
        <w:pStyle w:val="Heading1"/>
        <w:spacing w:after="120" w:before="240"/>
      </w:pPr>
      <w:r>
        <w:t xml:space="preserve">Điều 3. Hoàn ứng</w:t>
      </w:r>
    </w:p>
    <w:p>
      <w:pPr>
        <w:spacing w:after="120"/>
      </w:pPr>
      <w:r>
        <w:t xml:space="preserve">Nhân viên phải hoàn ứng trong vòng 7 ngày làm việc kể từ ngày kết thúc công việc (hoặc ngày về công tác). Hồ sơ hoàn ứng gồm: phiếu thanh toán tạm ứng mẫu KT-02 kèm đầy đủ hoá đơn, chứng từ gốc.</w:t>
      </w:r>
    </w:p>
    <w:p>
      <w:pPr>
        <w:pStyle w:val="ListParagraph"/>
        <w:numPr>
          <w:ilvl w:val="0"/>
          <w:numId w:val="2"/>
        </w:numPr>
        <w:spacing w:after="60"/>
      </w:pPr>
      <w:r>
        <w:t xml:space="preserve">Nếu số tiền đã chi ít hơn số tạm ứng: nộp lại phần thừa cho Phòng Kế toán bằng chuyển khoản.</w:t>
      </w:r>
    </w:p>
    <w:p>
      <w:pPr>
        <w:pStyle w:val="ListParagraph"/>
        <w:numPr>
          <w:ilvl w:val="0"/>
          <w:numId w:val="2"/>
        </w:numPr>
        <w:spacing w:after="60"/>
      </w:pPr>
      <w:r>
        <w:t xml:space="preserve">Nếu số tiền đã chi nhiều hơn số tạm ứng: công ty thanh toán phần chênh lệch cùng kỳ lương gần nhất.</w:t>
      </w:r>
    </w:p>
    <w:p>
      <w:pPr>
        <w:pStyle w:val="ListParagraph"/>
        <w:numPr>
          <w:ilvl w:val="0"/>
          <w:numId w:val="2"/>
        </w:numPr>
        <w:spacing w:after="60"/>
      </w:pPr>
      <w:r>
        <w:t xml:space="preserve">Quá 30 ngày chưa hoàn ứng: số tiền tạm ứng sẽ được trừ vào lương tháng kế tiếp.</w:t>
      </w:r>
    </w:p>
    <w:p>
      <w:pPr>
        <w:pStyle w:val="Heading1"/>
        <w:spacing w:after="120" w:before="240"/>
      </w:pPr>
      <w:r>
        <w:t xml:space="preserve">Điều 4. Thanh toán chi phí (không qua tạm ứng)</w:t>
      </w:r>
    </w:p>
    <w:p>
      <w:pPr>
        <w:spacing w:after="120"/>
      </w:pPr>
      <w:r>
        <w:t xml:space="preserve">Nhân viên tự chi trước rồi đề nghị thanh toán bằng phiếu đề nghị thanh toán mẫu KT-03, nộp trong vòng 30 ngày kể từ ngày phát sinh chi phí. Quá 30 ngày, Phòng Kế toán có quyền từ chối thanh toán.</w:t>
      </w:r>
    </w:p>
    <w:p>
      <w:pPr>
        <w:pStyle w:val="Heading1"/>
        <w:spacing w:after="120" w:before="240"/>
      </w:pPr>
      <w:r>
        <w:t xml:space="preserve">Điều 5. Hoá đơn và chứng từ</w:t>
      </w:r>
    </w:p>
    <w:p>
      <w:pPr>
        <w:spacing w:after="120"/>
      </w:pPr>
      <w:r>
        <w:t xml:space="preserve">Mọi khoản chi từ 200.000 đồng trở lên phải có hoá đơn giá trị gia tăng (hoá đơn điện tử) ghi đúng thông tin công ty:</w:t>
      </w:r>
    </w:p>
    <w:p>
      <w:pPr>
        <w:pStyle w:val="ListParagraph"/>
        <w:numPr>
          <w:ilvl w:val="0"/>
          <w:numId w:val="2"/>
        </w:numPr>
        <w:spacing w:after="60"/>
      </w:pPr>
      <w:r>
        <w:t xml:space="preserve">Tên: Công ty TNHH Ánh Dương (MẪU)</w:t>
      </w:r>
    </w:p>
    <w:p>
      <w:pPr>
        <w:pStyle w:val="ListParagraph"/>
        <w:numPr>
          <w:ilvl w:val="0"/>
          <w:numId w:val="2"/>
        </w:numPr>
        <w:spacing w:after="60"/>
      </w:pPr>
      <w:r>
        <w:t xml:space="preserve">Mã số thuế: 0000000000 (mã giả, chỉ để test)</w:t>
      </w:r>
    </w:p>
    <w:p>
      <w:pPr>
        <w:pStyle w:val="ListParagraph"/>
        <w:numPr>
          <w:ilvl w:val="0"/>
          <w:numId w:val="2"/>
        </w:numPr>
        <w:spacing w:after="60"/>
      </w:pPr>
      <w:r>
        <w:t xml:space="preserve">Địa chỉ: 123 Đường Mẫu, Quận Hải Châu, TP. Đà Nẵng</w:t>
      </w:r>
    </w:p>
    <w:p>
      <w:pPr>
        <w:pStyle w:val="ListParagraph"/>
        <w:numPr>
          <w:ilvl w:val="0"/>
          <w:numId w:val="2"/>
        </w:numPr>
        <w:spacing w:after="60"/>
      </w:pPr>
      <w:r>
        <w:t xml:space="preserve">Email nhận hoá đơn: hoadon@anhduong.example</w:t>
      </w:r>
    </w:p>
    <w:p>
      <w:pPr>
        <w:spacing w:after="120"/>
      </w:pPr>
      <w:r>
        <w:t xml:space="preserve">Khoản chi dưới 200.000 đồng (taxi, gửi xe, photocopy…) có thể dùng biên lai hoặc ảnh chụp màn hình ứng dụng đặt xe thay cho hoá đơn.</w:t>
      </w:r>
    </w:p>
    <w:p>
      <w:pPr>
        <w:pStyle w:val="Heading1"/>
        <w:spacing w:after="120" w:before="240"/>
      </w:pPr>
      <w:r>
        <w:t xml:space="preserve">Điều 6. Liên hệ</w:t>
      </w:r>
    </w:p>
    <w:p>
      <w:pPr>
        <w:spacing w:after="120"/>
      </w:pPr>
      <w:r>
        <w:t xml:space="preserve">Mọi thắc mắc về tạm ứng, hoàn ứng, thanh toán: liên hệ chị Mai (Phòng Kế toán), email ketoan@anhduong.example, máy lẻ 101.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2026-09-29T17:55:50.902Z</dcterms:created>
  <dcterms:modified xsi:type="dcterms:W3CDTF">2026-09-29T17:55:50.905Z</dcterms:modified>
</cp:coreProperties>
</file>

<file path=docProps/custom.xml><?xml version="1.0" encoding="utf-8"?>
<Properties xmlns="http://schemas.openxmlformats.org/officeDocument/2006/custom-properties" xmlns:vt="http://schemas.openxmlformats.org/officeDocument/2006/docPropsVTypes"/>
</file>