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rPr>
          <w:b/>
          <w:bCs/>
          <w:color w:val="666666"/>
          <w:sz w:val="20"/>
          <w:szCs w:val="20"/>
        </w:rPr>
      </w:pPr>
      <w:r>
        <w:rPr>
          <w:b/>
          <w:bCs/>
          <w:color w:val="666666"/>
          <w:sz w:val="20"/>
          <w:szCs w:val="20"/>
        </w:rPr>
        <w:t xml:space="preserve">CÔNG TY TNHH ÁNH DƯƠNG (DỮ LIỆU MẪU ĐỂ TEST)</w:t>
      </w:r>
    </w:p>
    <w:p>
      <w:pPr>
        <w:spacing w:after="80" w:before="200"/>
        <w:jc w:val="center"/>
      </w:pPr>
      <w:r>
        <w:rPr>
          <w:b/>
          <w:bCs/>
          <w:sz w:val="32"/>
          <w:szCs w:val="32"/>
        </w:rPr>
        <w:t xml:space="preserve">QUY ĐỊNH CÔNG TÁC PHÍ</w:t>
      </w:r>
    </w:p>
    <w:p>
      <w:pPr>
        <w:pBdr>
          <w:bottom w:val="single" w:color="BFBFBF" w:sz="6" w:space="6"/>
        </w:pBdr>
        <w:spacing w:after="120"/>
        <w:jc w:val="center"/>
        <w:rPr>
          <w:i/>
          <w:iCs/>
          <w:color w:val="666666"/>
          <w:sz w:val="20"/>
          <w:szCs w:val="20"/>
        </w:rPr>
      </w:pPr>
      <w:r>
        <w:rPr>
          <w:i/>
          <w:iCs/>
          <w:color w:val="666666"/>
          <w:sz w:val="20"/>
          <w:szCs w:val="20"/>
        </w:rPr>
        <w:t xml:space="preserve">Mã tài liệu: KT-QĐ-02 · Hiệu lực từ 01/01/2026 · Bộ phận ban hành: Phòng Kế toán</w:t>
      </w:r>
    </w:p>
    <w:p>
      <w:pPr>
        <w:spacing w:after="120"/>
        <w:rPr>
          <w:i/>
          <w:iCs/>
          <w:color w:val="C00000"/>
          <w:sz w:val="20"/>
          <w:szCs w:val="20"/>
        </w:rPr>
      </w:pPr>
      <w:r>
        <w:rPr>
          <w:i/>
          <w:iCs/>
          <w:color w:val="C00000"/>
          <w:sz w:val="20"/>
          <w:szCs w:val="20"/>
        </w:rPr>
        <w:t xml:space="preserve">Lưu ý: đây là tài liệu MẪU, soạn ra chỉ để thử chatbot. Số liệu và quy định không phải của công ty thật.</w:t>
      </w:r>
    </w:p>
    <w:p>
      <w:pPr>
        <w:pStyle w:val="Heading1"/>
        <w:spacing w:after="120" w:before="240"/>
      </w:pPr>
      <w:r>
        <w:t xml:space="preserve">Điều 1. Điều kiện được hưởng công tác phí</w:t>
      </w:r>
    </w:p>
    <w:p>
      <w:pPr>
        <w:spacing w:after="120"/>
      </w:pPr>
      <w:r>
        <w:t xml:space="preserve">Nhân viên được cử đi công tác ngoài thành phố nơi làm việc, có tờ trình công tác được quản lý trực tiếp duyệt trước ngày đi. Đi công tác không có tờ trình được duyệt thì không được thanh toán công tác phí.</w:t>
      </w:r>
    </w:p>
    <w:p>
      <w:pPr>
        <w:pStyle w:val="Heading1"/>
        <w:spacing w:after="120" w:before="240"/>
      </w:pPr>
      <w:r>
        <w:t xml:space="preserve">Điều 2. Mức phụ cấp và chi phí trong nước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rPr>
          <w:tblHeader/>
        </w:trPr>
        <w:tc>
          <w:tcPr>
            <w:tcW w:type="dxa" w:w="3600"/>
            <w:shd w:fill="E8EEF7" w:color="auto" w:val="clear"/>
            <w:tcMar>
              <w:top w:type="dxa" w:w="60"/>
              <w:left w:type="dxa" w:w="100"/>
              <w:bottom w:type="dxa" w:w="60"/>
              <w:right w:type="dxa" w:w="100"/>
            </w:tcMar>
          </w:tcPr>
          <w:p>
            <w:r>
              <w:rPr>
                <w:b/>
                <w:bCs/>
              </w:rPr>
              <w:t xml:space="preserve">Khoản chi</w:t>
            </w:r>
          </w:p>
        </w:tc>
        <w:tc>
          <w:tcPr>
            <w:tcW w:type="dxa" w:w="2713"/>
            <w:shd w:fill="E8EEF7" w:color="auto" w:val="clear"/>
            <w:tcMar>
              <w:top w:type="dxa" w:w="60"/>
              <w:left w:type="dxa" w:w="100"/>
              <w:bottom w:type="dxa" w:w="60"/>
              <w:right w:type="dxa" w:w="100"/>
            </w:tcMar>
          </w:tcPr>
          <w:p>
            <w:r>
              <w:rPr>
                <w:b/>
                <w:bCs/>
              </w:rPr>
              <w:t xml:space="preserve">Nhân viên</w:t>
            </w:r>
          </w:p>
        </w:tc>
        <w:tc>
          <w:tcPr>
            <w:tcW w:type="dxa" w:w="2713"/>
            <w:shd w:fill="E8EEF7" w:color="auto" w:val="clear"/>
            <w:tcMar>
              <w:top w:type="dxa" w:w="60"/>
              <w:left w:type="dxa" w:w="100"/>
              <w:bottom w:type="dxa" w:w="60"/>
              <w:right w:type="dxa" w:w="100"/>
            </w:tcMar>
          </w:tcPr>
          <w:p>
            <w:r>
              <w:rPr>
                <w:b/>
                <w:bCs/>
              </w:rPr>
              <w:t xml:space="preserve">Trưởng phòng trở lên</w:t>
            </w:r>
          </w:p>
        </w:tc>
      </w:tr>
      <w:tr>
        <w:tc>
          <w:tcPr>
            <w:tcW w:type="dxa" w:w="3600"/>
            <w:tcMar>
              <w:top w:type="dxa" w:w="60"/>
              <w:left w:type="dxa" w:w="100"/>
              <w:bottom w:type="dxa" w:w="60"/>
              <w:right w:type="dxa" w:w="100"/>
            </w:tcMar>
          </w:tcPr>
          <w:p>
            <w:r>
              <w:rPr>
                <w:b w:val="false"/>
                <w:bCs w:val="false"/>
              </w:rPr>
              <w:t xml:space="preserve">Phụ cấp lưu trú (ăn uống, đi lại nội thành)</w:t>
            </w:r>
          </w:p>
        </w:tc>
        <w:tc>
          <w:tcPr>
            <w:tcW w:type="dxa" w:w="2713"/>
            <w:tcMar>
              <w:top w:type="dxa" w:w="60"/>
              <w:left w:type="dxa" w:w="100"/>
              <w:bottom w:type="dxa" w:w="60"/>
              <w:right w:type="dxa" w:w="100"/>
            </w:tcMar>
          </w:tcPr>
          <w:p>
            <w:r>
              <w:rPr>
                <w:b w:val="false"/>
                <w:bCs w:val="false"/>
              </w:rPr>
              <w:t xml:space="preserve">300.000 đồng/ngày</w:t>
            </w:r>
          </w:p>
        </w:tc>
        <w:tc>
          <w:tcPr>
            <w:tcW w:type="dxa" w:w="2713"/>
            <w:tcMar>
              <w:top w:type="dxa" w:w="60"/>
              <w:left w:type="dxa" w:w="100"/>
              <w:bottom w:type="dxa" w:w="60"/>
              <w:right w:type="dxa" w:w="100"/>
            </w:tcMar>
          </w:tcPr>
          <w:p>
            <w:r>
              <w:rPr>
                <w:b w:val="false"/>
                <w:bCs w:val="false"/>
              </w:rPr>
              <w:t xml:space="preserve">450.000 đồng/ngày</w:t>
            </w:r>
          </w:p>
        </w:tc>
      </w:tr>
      <w:tr>
        <w:tc>
          <w:tcPr>
            <w:tcW w:type="dxa" w:w="3600"/>
            <w:tcMar>
              <w:top w:type="dxa" w:w="60"/>
              <w:left w:type="dxa" w:w="100"/>
              <w:bottom w:type="dxa" w:w="60"/>
              <w:right w:type="dxa" w:w="100"/>
            </w:tcMar>
          </w:tcPr>
          <w:p>
            <w:r>
              <w:rPr>
                <w:b w:val="false"/>
                <w:bCs w:val="false"/>
              </w:rPr>
              <w:t xml:space="preserve">Khách sạn Hà Nội, TP. Hồ Chí Minh</w:t>
            </w:r>
          </w:p>
        </w:tc>
        <w:tc>
          <w:tcPr>
            <w:tcW w:type="dxa" w:w="2713"/>
            <w:tcMar>
              <w:top w:type="dxa" w:w="60"/>
              <w:left w:type="dxa" w:w="100"/>
              <w:bottom w:type="dxa" w:w="60"/>
              <w:right w:type="dxa" w:w="100"/>
            </w:tcMar>
          </w:tcPr>
          <w:p>
            <w:r>
              <w:rPr>
                <w:b w:val="false"/>
                <w:bCs w:val="false"/>
              </w:rPr>
              <w:t xml:space="preserve">Tối đa 1.200.000 đồng/đêm</w:t>
            </w:r>
          </w:p>
        </w:tc>
        <w:tc>
          <w:tcPr>
            <w:tcW w:type="dxa" w:w="2713"/>
            <w:tcMar>
              <w:top w:type="dxa" w:w="60"/>
              <w:left w:type="dxa" w:w="100"/>
              <w:bottom w:type="dxa" w:w="60"/>
              <w:right w:type="dxa" w:w="100"/>
            </w:tcMar>
          </w:tcPr>
          <w:p>
            <w:r>
              <w:rPr>
                <w:b w:val="false"/>
                <w:bCs w:val="false"/>
              </w:rPr>
              <w:t xml:space="preserve">Tối đa 1.800.000 đồng/đêm</w:t>
            </w:r>
          </w:p>
        </w:tc>
      </w:tr>
      <w:tr>
        <w:tc>
          <w:tcPr>
            <w:tcW w:type="dxa" w:w="3600"/>
            <w:tcMar>
              <w:top w:type="dxa" w:w="60"/>
              <w:left w:type="dxa" w:w="100"/>
              <w:bottom w:type="dxa" w:w="60"/>
              <w:right w:type="dxa" w:w="100"/>
            </w:tcMar>
          </w:tcPr>
          <w:p>
            <w:r>
              <w:rPr>
                <w:b w:val="false"/>
                <w:bCs w:val="false"/>
              </w:rPr>
              <w:t xml:space="preserve">Khách sạn các tỉnh, thành phố khác</w:t>
            </w:r>
          </w:p>
        </w:tc>
        <w:tc>
          <w:tcPr>
            <w:tcW w:type="dxa" w:w="2713"/>
            <w:tcMar>
              <w:top w:type="dxa" w:w="60"/>
              <w:left w:type="dxa" w:w="100"/>
              <w:bottom w:type="dxa" w:w="60"/>
              <w:right w:type="dxa" w:w="100"/>
            </w:tcMar>
          </w:tcPr>
          <w:p>
            <w:r>
              <w:rPr>
                <w:b w:val="false"/>
                <w:bCs w:val="false"/>
              </w:rPr>
              <w:t xml:space="preserve">Tối đa 800.000 đồng/đêm</w:t>
            </w:r>
          </w:p>
        </w:tc>
        <w:tc>
          <w:tcPr>
            <w:tcW w:type="dxa" w:w="2713"/>
            <w:tcMar>
              <w:top w:type="dxa" w:w="60"/>
              <w:left w:type="dxa" w:w="100"/>
              <w:bottom w:type="dxa" w:w="60"/>
              <w:right w:type="dxa" w:w="100"/>
            </w:tcMar>
          </w:tcPr>
          <w:p>
            <w:r>
              <w:rPr>
                <w:b w:val="false"/>
                <w:bCs w:val="false"/>
              </w:rPr>
              <w:t xml:space="preserve">Tối đa 1.200.000 đồng/đêm</w:t>
            </w:r>
          </w:p>
        </w:tc>
      </w:tr>
      <w:tr>
        <w:tc>
          <w:tcPr>
            <w:tcW w:type="dxa" w:w="3600"/>
            <w:tcMar>
              <w:top w:type="dxa" w:w="60"/>
              <w:left w:type="dxa" w:w="100"/>
              <w:bottom w:type="dxa" w:w="60"/>
              <w:right w:type="dxa" w:w="100"/>
            </w:tcMar>
          </w:tcPr>
          <w:p>
            <w:r>
              <w:rPr>
                <w:b w:val="false"/>
                <w:bCs w:val="false"/>
              </w:rPr>
              <w:t xml:space="preserve">Máy bay</w:t>
            </w:r>
          </w:p>
        </w:tc>
        <w:tc>
          <w:tcPr>
            <w:tcW w:type="dxa" w:w="2713"/>
            <w:tcMar>
              <w:top w:type="dxa" w:w="60"/>
              <w:left w:type="dxa" w:w="100"/>
              <w:bottom w:type="dxa" w:w="60"/>
              <w:right w:type="dxa" w:w="100"/>
            </w:tcMar>
          </w:tcPr>
          <w:p>
            <w:r>
              <w:rPr>
                <w:b w:val="false"/>
                <w:bCs w:val="false"/>
              </w:rPr>
              <w:t xml:space="preserve">Hạng phổ thông</w:t>
            </w:r>
          </w:p>
        </w:tc>
        <w:tc>
          <w:tcPr>
            <w:tcW w:type="dxa" w:w="2713"/>
            <w:tcMar>
              <w:top w:type="dxa" w:w="60"/>
              <w:left w:type="dxa" w:w="100"/>
              <w:bottom w:type="dxa" w:w="60"/>
              <w:right w:type="dxa" w:w="100"/>
            </w:tcMar>
          </w:tcPr>
          <w:p>
            <w:r>
              <w:rPr>
                <w:b w:val="false"/>
                <w:bCs w:val="false"/>
              </w:rPr>
              <w:t xml:space="preserve">Hạng phổ thông</w:t>
            </w:r>
          </w:p>
        </w:tc>
      </w:tr>
    </w:tbl>
    <w:p>
      <w:pPr>
        <w:spacing w:after="120"/>
      </w:pPr>
      <w:r>
        <w:t xml:space="preserve"/>
      </w:r>
    </w:p>
    <w:p>
      <w:pPr>
        <w:spacing w:after="120"/>
      </w:pPr>
      <w:r>
        <w:t xml:space="preserve">Ngày đi và ngày về mỗi ngày tính 50% phụ cấp lưu trú. Nếu đối tác đã lo ăn ở thì không được hưởng phần phụ cấp tương ứng.</w:t>
      </w:r>
    </w:p>
    <w:p>
      <w:pPr>
        <w:pStyle w:val="Heading1"/>
        <w:spacing w:after="120" w:before="240"/>
      </w:pPr>
      <w:r>
        <w:t xml:space="preserve">Điều 3. Công tác nước ngoài</w:t>
      </w:r>
    </w:p>
    <w:p>
      <w:pPr>
        <w:pStyle w:val="ListParagraph"/>
        <w:numPr>
          <w:ilvl w:val="0"/>
          <w:numId w:val="2"/>
        </w:numPr>
        <w:spacing w:after="60"/>
      </w:pPr>
      <w:r>
        <w:t xml:space="preserve">Phải đăng ký với Phòng Kế toán ít nhất 2 tuần trước ngày đi để đặt vé và làm tạm ứng.</w:t>
      </w:r>
    </w:p>
    <w:p>
      <w:pPr>
        <w:pStyle w:val="ListParagraph"/>
        <w:numPr>
          <w:ilvl w:val="0"/>
          <w:numId w:val="2"/>
        </w:numPr>
        <w:spacing w:after="60"/>
      </w:pPr>
      <w:r>
        <w:t xml:space="preserve">Phụ cấp lưu trú: 50 USD/ngày (Đông Nam Á), 80 USD/ngày (Nhật Bản, Hàn Quốc, châu Âu, Mỹ).</w:t>
      </w:r>
    </w:p>
    <w:p>
      <w:pPr>
        <w:pStyle w:val="ListParagraph"/>
        <w:numPr>
          <w:ilvl w:val="0"/>
          <w:numId w:val="2"/>
        </w:numPr>
        <w:spacing w:after="60"/>
      </w:pPr>
      <w:r>
        <w:t xml:space="preserve">Khách sạn thanh toán theo hoá đơn thực tế, tối đa 150 USD/đêm.</w:t>
      </w:r>
    </w:p>
    <w:p>
      <w:pPr>
        <w:pStyle w:val="ListParagraph"/>
        <w:numPr>
          <w:ilvl w:val="0"/>
          <w:numId w:val="2"/>
        </w:numPr>
        <w:spacing w:after="60"/>
      </w:pPr>
      <w:r>
        <w:t xml:space="preserve">Bảo hiểm du lịch do công ty mua cho toàn bộ chuyến đi.</w:t>
      </w:r>
    </w:p>
    <w:p>
      <w:pPr>
        <w:pStyle w:val="Heading1"/>
        <w:spacing w:after="120" w:before="240"/>
      </w:pPr>
      <w:r>
        <w:t xml:space="preserve">Điều 4. Đi lại</w:t>
      </w:r>
    </w:p>
    <w:p>
      <w:pPr>
        <w:spacing w:after="120"/>
      </w:pPr>
      <w:r>
        <w:t xml:space="preserve">Đi lại giữa sân bay, ga tàu và nơi ở được thanh toán theo hoá đơn hoặc biên lai thực tế. Ưu tiên dùng taxi hoặc xe công nghệ; không thanh toán chi phí thuê xe riêng nếu không được duyệt trước. Đi bằng xe cá nhân được hỗ trợ 3.000 đồng/km.</w:t>
      </w:r>
    </w:p>
    <w:p>
      <w:pPr>
        <w:pStyle w:val="Heading1"/>
        <w:spacing w:after="120" w:before="240"/>
      </w:pPr>
      <w:r>
        <w:t xml:space="preserve">Điều 5. Thanh toán sau chuyến đi</w:t>
      </w:r>
    </w:p>
    <w:p>
      <w:pPr>
        <w:spacing w:after="120"/>
      </w:pPr>
      <w:r>
        <w:t xml:space="preserve">Trong vòng 7 ngày làm việc sau khi về, nhân viên nộp báo cáo công tác kèm hoá đơn, vé máy bay (hoặc thẻ lên máy bay) để hoàn ứng hoặc thanh toán, theo Quy định tạm ứng KT-QĐ-01.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28"/>
      <w:szCs w:val="28"/>
    </w:rPr>
  </w:style>
  <w:style w:type="paragraph" w:styleId="Heading2">
    <w:name w:val="Heading 2"/>
    <w:basedOn w:val="Normal"/>
    <w:next w:val="Normal"/>
    <w:qFormat/>
    <w:pPr>
      <w:outlineLvl w:val="1"/>
    </w:pPr>
    <w:rPr>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2026-09-29T17:55:50.915Z</dcterms:created>
  <dcterms:modified xsi:type="dcterms:W3CDTF">2026-09-29T17:55:50.915Z</dcterms:modified>
</cp:coreProperties>
</file>

<file path=docProps/custom.xml><?xml version="1.0" encoding="utf-8"?>
<Properties xmlns="http://schemas.openxmlformats.org/officeDocument/2006/custom-properties" xmlns:vt="http://schemas.openxmlformats.org/officeDocument/2006/docPropsVTypes"/>
</file>