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color w:val="666666"/>
          <w:sz w:val="20"/>
          <w:szCs w:val="20"/>
        </w:rPr>
      </w:pPr>
      <w:r>
        <w:rPr>
          <w:b/>
          <w:bCs/>
          <w:color w:val="666666"/>
          <w:sz w:val="20"/>
          <w:szCs w:val="20"/>
        </w:rPr>
        <w:t xml:space="preserve">CÔNG TY TNHH ÁNH DƯƠNG (DỮ LIỆU MẪU ĐỂ TEST)</w:t>
      </w:r>
    </w:p>
    <w:p>
      <w:pPr>
        <w:spacing w:after="80" w:before="200"/>
        <w:jc w:val="center"/>
      </w:pPr>
      <w:r>
        <w:rPr>
          <w:b/>
          <w:bCs/>
          <w:sz w:val="32"/>
          <w:szCs w:val="32"/>
        </w:rPr>
        <w:t xml:space="preserve">QUY ĐỊNH VỀ LƯƠNG, PHIẾU LƯƠNG VÀ THUẾ THU NHẬP CÁ NHÂN</w:t>
      </w:r>
    </w:p>
    <w:p>
      <w:pPr>
        <w:pBdr>
          <w:bottom w:val="single" w:color="BFBFBF" w:sz="6" w:space="6"/>
        </w:pBdr>
        <w:spacing w:after="120"/>
        <w:jc w:val="center"/>
        <w:rPr>
          <w:i/>
          <w:iCs/>
          <w:color w:val="666666"/>
          <w:sz w:val="20"/>
          <w:szCs w:val="20"/>
        </w:rPr>
      </w:pPr>
      <w:r>
        <w:rPr>
          <w:i/>
          <w:iCs/>
          <w:color w:val="666666"/>
          <w:sz w:val="20"/>
          <w:szCs w:val="20"/>
        </w:rPr>
        <w:t xml:space="preserve">Mã tài liệu: KT-QĐ-03 · Hiệu lực từ 01/01/2026 · Bộ phận ban hành: Phòng Kế toán</w:t>
      </w:r>
    </w:p>
    <w:p>
      <w:pPr>
        <w:spacing w:after="120"/>
        <w:rPr>
          <w:i/>
          <w:iCs/>
          <w:color w:val="C00000"/>
          <w:sz w:val="20"/>
          <w:szCs w:val="20"/>
        </w:rPr>
      </w:pPr>
      <w:r>
        <w:rPr>
          <w:i/>
          <w:iCs/>
          <w:color w:val="C00000"/>
          <w:sz w:val="20"/>
          <w:szCs w:val="20"/>
        </w:rPr>
        <w:t xml:space="preserve">Lưu ý: đây là tài liệu MẪU, soạn ra chỉ để thử chatbot. Số liệu và quy định không phải của công ty thật.</w:t>
      </w:r>
    </w:p>
    <w:p>
      <w:pPr>
        <w:pStyle w:val="Heading1"/>
        <w:spacing w:after="120" w:before="240"/>
      </w:pPr>
      <w:r>
        <w:t xml:space="preserve">Điều 1. Ngày trả lương</w:t>
      </w:r>
    </w:p>
    <w:p>
      <w:pPr>
        <w:spacing w:after="120"/>
      </w:pPr>
      <w:r>
        <w:t xml:space="preserve">Lương tháng được trả vào ngày 5 của tháng kế tiếp, bằng chuyển khoản vào tài khoản ngân hàng nhân viên đã đăng ký. Nếu ngày 5 trùng thứ Bảy, Chủ nhật hoặc ngày lễ thì trả vào ngày làm việc liền trước.</w:t>
      </w:r>
    </w:p>
    <w:p>
      <w:pPr>
        <w:spacing w:after="120"/>
      </w:pPr>
      <w:r>
        <w:t xml:space="preserve">Thưởng tháng 13 được trả cùng kỳ lương tháng 12, chậm nhất trước Tết Nguyên đán 10 ngày.</w:t>
      </w:r>
    </w:p>
    <w:p>
      <w:pPr>
        <w:pStyle w:val="Heading1"/>
        <w:spacing w:after="120" w:before="240"/>
      </w:pPr>
      <w:r>
        <w:t xml:space="preserve">Điều 2. Phiếu lương</w:t>
      </w:r>
    </w:p>
    <w:p>
      <w:pPr>
        <w:spacing w:after="120"/>
      </w:pPr>
      <w:r>
        <w:t xml:space="preserve">Phiếu lương điện tử được gửi qua email công ty vào ngày 3 hằng tháng. Phiếu lương có mật khẩu là ngày sinh của nhân viên theo dạng ddmmyyyy.</w:t>
      </w:r>
    </w:p>
    <w:p>
      <w:pPr>
        <w:spacing w:after="120"/>
      </w:pPr>
      <w:r>
        <w:t xml:space="preserve">Nếu thấy sai sót trên phiếu lương, nhân viên phản hồi cho Phòng Kế toán trong vòng 3 ngày làm việc kể từ ngày nhận phiếu. Phần điều chỉnh (nếu có) được trả cùng kỳ lương tháng sau.</w:t>
      </w:r>
    </w:p>
    <w:p>
      <w:pPr>
        <w:pStyle w:val="Heading1"/>
        <w:spacing w:after="120" w:before="240"/>
      </w:pPr>
      <w:r>
        <w:t xml:space="preserve">Điều 3. Thay đổi tài khoản nhận lương</w:t>
      </w:r>
    </w:p>
    <w:p>
      <w:pPr>
        <w:spacing w:after="120"/>
      </w:pPr>
      <w:r>
        <w:t xml:space="preserve">Muốn đổi tài khoản ngân hàng nhận lương, nhân viên gửi email cho Phòng Kế toán kèm ảnh chụp thông tin tài khoản mới trước ngày 25 hằng tháng. Gửi sau ngày 25 thì áp dụng từ kỳ lương tháng sau nữa.</w:t>
      </w:r>
    </w:p>
    <w:p>
      <w:pPr>
        <w:pStyle w:val="Heading1"/>
        <w:spacing w:after="120" w:before="240"/>
      </w:pPr>
      <w:r>
        <w:t xml:space="preserve">Điều 4. Thuế thu nhập cá nhân (TNCN)</w:t>
      </w:r>
    </w:p>
    <w:p>
      <w:pPr>
        <w:pStyle w:val="ListParagraph"/>
        <w:numPr>
          <w:ilvl w:val="0"/>
          <w:numId w:val="2"/>
        </w:numPr>
        <w:spacing w:after="60"/>
      </w:pPr>
      <w:r>
        <w:t xml:space="preserve">Công ty khấu trừ thuế TNCN hằng tháng theo quy định hiện hành của pháp luật.</w:t>
      </w:r>
    </w:p>
    <w:p>
      <w:pPr>
        <w:pStyle w:val="ListParagraph"/>
        <w:numPr>
          <w:ilvl w:val="0"/>
          <w:numId w:val="2"/>
        </w:numPr>
        <w:spacing w:after="60"/>
      </w:pPr>
      <w:r>
        <w:t xml:space="preserve">Người phụ thuộc: đăng ký bằng mẫu KT-05 kèm giấy tờ chứng minh, nộp trước ngày 20 để được tính giảm trừ ngay tháng đó.</w:t>
      </w:r>
    </w:p>
    <w:p>
      <w:pPr>
        <w:pStyle w:val="ListParagraph"/>
        <w:numPr>
          <w:ilvl w:val="0"/>
          <w:numId w:val="2"/>
        </w:numPr>
        <w:spacing w:after="60"/>
      </w:pPr>
      <w:r>
        <w:t xml:space="preserve">Quyết toán thuế: nhân viên làm việc đủ 12 tháng trong năm và chỉ có thu nhập tại công ty có thể uỷ quyền cho công ty quyết toán thay, bằng mẫu uỷ quyền nộp trước ngày 15/02 năm sau.</w:t>
      </w:r>
    </w:p>
    <w:p>
      <w:pPr>
        <w:pStyle w:val="ListParagraph"/>
        <w:numPr>
          <w:ilvl w:val="0"/>
          <w:numId w:val="2"/>
        </w:numPr>
        <w:spacing w:after="60"/>
      </w:pPr>
      <w:r>
        <w:t xml:space="preserve">Chứng từ khấu trừ thuế TNCN được cấp theo yêu cầu, gửi email cho Phòng Kế toán, nhận trong 5 ngày làm việc.</w:t>
      </w:r>
    </w:p>
    <w:p>
      <w:pPr>
        <w:pStyle w:val="Heading1"/>
        <w:spacing w:after="120" w:before="240"/>
      </w:pPr>
      <w:r>
        <w:t xml:space="preserve">Điều 5. Liên hệ</w:t>
      </w:r>
    </w:p>
    <w:p>
      <w:pPr>
        <w:spacing w:after="120"/>
      </w:pPr>
      <w:r>
        <w:t xml:space="preserve">Thắc mắc về lương, phiếu lương, thuế TNCN: anh Tuấn (Phòng Kế toán), email luong@anhduong.example, máy lẻ 102.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 w:type="paragraph" w:styleId="Heading2">
    <w:name w:val="Heading 2"/>
    <w:basedOn w:val="Normal"/>
    <w:next w:val="Normal"/>
    <w:qFormat/>
    <w:pPr>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2026-09-29T17:55:50.916Z</dcterms:created>
  <dcterms:modified xsi:type="dcterms:W3CDTF">2026-09-29T17:55:50.916Z</dcterms:modified>
</cp:coreProperties>
</file>

<file path=docProps/custom.xml><?xml version="1.0" encoding="utf-8"?>
<Properties xmlns="http://schemas.openxmlformats.org/officeDocument/2006/custom-properties" xmlns:vt="http://schemas.openxmlformats.org/officeDocument/2006/docPropsVTypes"/>
</file>