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NGHỊ ĐỊNH 248/2026/NĐ-CP</w:t>
      </w:r>
    </w:p>
    <w:p>
      <w:pPr>
        <w:jc w:val="center"/>
      </w:pPr>
      <w:r>
        <w:rPr>
          <w:rFonts w:ascii="Arial" w:hAnsi="Arial"/>
          <w:i/>
          <w:color w:val="666666"/>
          <w:sz w:val="22"/>
        </w:rPr>
        <w:t>Trích tuyển hướng dẫn nền tảng đăng tin và kết nối thuê chỗ ở</w:t>
      </w:r>
    </w:p>
    <w:p>
      <w:pPr>
        <w:jc w:val="center"/>
      </w:pPr>
      <w:r>
        <w:rPr>
          <w:b/>
          <w:color w:val="1F4E79"/>
          <w:sz w:val="17"/>
        </w:rPr>
        <w:t>BẢN TRÍCH TUYỂN NGHIÊN CỨU — KHÔNG THAY THẾ VĂN BẢN GỐC</w:t>
      </w:r>
    </w:p>
    <w:tbl>
      <w:tblPr>
        <w:tblW w:type="auto" w:w="0"/>
        <w:jc w:val="center"/>
        <w:tblLayout w:type="fixed"/>
        <w:tblLook w:firstColumn="1" w:firstRow="1" w:lastColumn="0" w:lastRow="0" w:noHBand="0" w:noVBand="1" w:val="04A0"/>
      </w:tblPr>
      <w:tblGrid>
        <w:gridCol w:w="2016"/>
        <w:gridCol w:w="7560"/>
      </w:tblGrid>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Loại, số hiệu</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Nghị định 248/2026/NĐ-CP của Chính phủ, quy định chi tiết một số điều của Luật Thương mại điện tử.</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Phạm vi, đối tượng</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Tổ chức, cá nhân tham gia hoạt động thương mại điện tử; trách nhiệm cụ thể tùy loại nền tảng và tính năng.</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Hiệu lực</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Ban hành 30/06/2026; hiệu lực 01/07/2026.</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Quan hệ văn bản</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Hướng dẫn Luật Thương mại điện tử 122/2025/QH15. Cần đánh giá riêng nếu có đặt hàng/đặt chỗ/thu tiền trực tuyến vì có thể phát sinh nhóm nghĩa vụ bổ sung.</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Nguồn</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Đối chiếu văn bản trên Cổng văn bản Chính phủ ngày 01/10/2026.</w:t>
            </w:r>
          </w:p>
        </w:tc>
      </w:tr>
    </w:tbl>
    <w:p>
      <w:pPr>
        <w:pStyle w:val="Heading1"/>
      </w:pPr>
      <w:r>
        <w:t>Nội dung giữ lại</w:t>
      </w:r>
    </w:p>
    <w:p>
      <w:pPr>
        <w:pStyle w:val="Heading2"/>
      </w:pPr>
      <w:r>
        <w:t>Điều 7 — tiếp nhận và xử lý phản ánh, khiếu nại</w:t>
      </w:r>
    </w:p>
    <w:p>
      <w:pPr>
        <w:keepLines/>
      </w:pPr>
      <w:r>
        <w:t>Nền tảng phải có cách tiếp nhận và quy trình xử lý phản ánh/khiếu nại được công khai. Với dịch vụ tìm trọ, nên giữ kênh báo tin giả, yêu cầu gỡ tin, tranh chấp nội dung quảng cáo và khiếu nại của người dùng.</w:t>
      </w:r>
    </w:p>
    <w:p>
      <w:pPr>
        <w:pStyle w:val="Heading2"/>
      </w:pPr>
      <w:r>
        <w:t>Điều 17 — trách nhiệm chung</w:t>
      </w:r>
    </w:p>
    <w:p>
      <w:pPr>
        <w:keepLines/>
      </w:pPr>
      <w:r>
        <w:t>Giữ nghĩa vụ công khai thông tin và quy tắc; rà soát/gỡ nội dung vi phạm khi nhận yêu cầu; lọc từ khóa/cảnh báo theo hướng dẫn cơ quan có thẩm quyền; duy trì kênh nhận và phản hồi khiếu nại.</w:t>
      </w:r>
    </w:p>
    <w:p>
      <w:pPr>
        <w:pStyle w:val="Heading2"/>
      </w:pPr>
      <w:r>
        <w:t>Điều 18 — nền tảng trung gian</w:t>
      </w:r>
    </w:p>
    <w:p>
      <w:pPr>
        <w:keepLines/>
      </w:pPr>
      <w:r>
        <w:t>Nếu được phân loại là nền tảng thương mại điện tử trung gian, có các nghĩa vụ như xác thực điện tử người bán, công khai danh tính/thông tin liên hệ, kiểm duyệt nội dung tin trước khi hiển thị và duy trì khả năng truy cập dữ liệu tin theo thời hạn quy định.</w:t>
      </w:r>
    </w:p>
    <w:p>
      <w:pPr>
        <w:pStyle w:val="Heading2"/>
      </w:pPr>
      <w:r>
        <w:t>Chức năng đặt hàng trực tuyến</w:t>
      </w:r>
    </w:p>
    <w:p>
      <w:pPr>
        <w:keepLines/>
      </w:pPr>
      <w:r>
        <w:t>Khi có chức năng đặt hàng trực tuyến, khoản 2 Điều 18 bổ sung các trách nhiệm riêng, gồm thông tin hỗ trợ giao dịch và xử lý trường hợp nội dung cung cấp không đúng cam kết. Nếu app nhận đặt cọc/tiền thuê, cần rà soát sâu thêm điều khoản thanh toán, hợp đồng điện tử và bảo vệ người tiêu dùng.</w:t>
      </w:r>
    </w:p>
    <w:p>
      <w:pPr>
        <w:pStyle w:val="Heading2"/>
      </w:pPr>
      <w:r>
        <w:t>Lược khỏi bản trích</w:t>
      </w:r>
    </w:p>
    <w:p>
      <w:pPr>
        <w:keepLines/>
      </w:pPr>
      <w:r>
        <w:t>Yêu cầu chỉ dành cho nền tảng rất lớn, tích hợp nền tảng hoặc livestream không đưa vào chunk mặc định; bật lại khi sản phẩm triển khai chức năng tương ứng.</w:t>
      </w:r>
    </w:p>
    <w:p>
      <w:pPr>
        <w:pStyle w:val="Heading1"/>
      </w:pPr>
      <w:r>
        <w:t>Nguồn đối chiếu</w:t>
      </w:r>
    </w:p>
    <w:p>
      <w:pPr>
        <w:pStyle w:val="ListBullet"/>
        <w:spacing w:after="40"/>
      </w:pPr>
      <w:hyperlink r:id="rId10">
        <w:r>
          <w:rPr>
            <w:color w:val="1F4E79"/>
            <w:u w:val="single"/>
          </w:rPr>
          <w:t>https://vanban.chinhphu.vn/?docid=218747&amp;orggroupid=2&amp;pageid=27160</w:t>
        </w:r>
      </w:hyperlink>
    </w:p>
    <w:p>
      <w:pPr>
        <w:pStyle w:val="ListBullet"/>
        <w:spacing w:after="40"/>
      </w:pPr>
      <w:hyperlink r:id="rId11">
        <w:r>
          <w:rPr>
            <w:color w:val="1F4E79"/>
            <w:u w:val="single"/>
          </w:rPr>
          <w:t>https://vanban.chinhphu.vn/?classid=1&amp;docid=216503&amp;pageid=27160&amp;typegroupid=3</w:t>
        </w:r>
      </w:hyperlink>
    </w:p>
    <w:p>
      <w:pPr>
        <w:spacing w:before="140"/>
      </w:pPr>
      <w:r>
        <w:rPr>
          <w:b/>
        </w:rPr>
        <w:t xml:space="preserve">Ghi chú: </w:t>
      </w:r>
      <w:r>
        <w:t>Đây là bản rút gọn có biên tập để phục vụ nghiên cứu và truy xuất theo điều khoản. Khi trả lời một tình huống thực tế, cần kiểm tra bản gốc, văn bản sửa đổi, điều khoản chuyển tiếp và dữ kiện cụ thể.</w:t>
      </w:r>
    </w:p>
    <w:sectPr w:rsidR="00FC693F" w:rsidRPr="0006063C" w:rsidSect="00034616">
      <w:footerReference w:type="default" r:id="rId9"/>
      <w:pgSz w:w="11906" w:h="16838"/>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Bản trích phục vụ nghiên cứu  •  Kiểm tra 01/10/2026  •  Trang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3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14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vanban.chinhphu.vn/?docid=218747&amp;orggroupid=2&amp;pageid=27160" TargetMode="External"/><Relationship Id="rId11" Type="http://schemas.openxmlformats.org/officeDocument/2006/relationships/hyperlink" Target="https://vanban.chinhphu.vn/?classid=1&amp;docid=216503&amp;pageid=27160&amp;typegroupid=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NGHỊ ĐỊNH 248/2026/NĐ-CP</dc:title>
  <dc:subject>Trích tuyển hướng dẫn nền tảng đăng tin và kết nối thuê chỗ ở</dc:subject>
  <dc:creator>Bản trích nghiên cứu — kiểm tra 01/10/2026</dc:creator>
  <cp:keywords/>
  <dc:description>generated by python-docx</dc:description>
  <cp:lastModifiedBy/>
  <cp:revision>1</cp:revision>
  <dcterms:created xsi:type="dcterms:W3CDTF">2013-12-23T23:15:00Z</dcterms:created>
  <dcterms:modified xsi:type="dcterms:W3CDTF">2013-12-23T23:15:00Z</dcterms:modified>
  <cp:category/>
</cp:coreProperties>
</file>