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NGHỊ ĐỊNH 133/2026/NĐ-CP</w:t>
      </w:r>
    </w:p>
    <w:p>
      <w:pPr>
        <w:jc w:val="center"/>
      </w:pPr>
      <w:r>
        <w:rPr>
          <w:rFonts w:ascii="Arial" w:hAnsi="Arial"/>
          <w:i/>
          <w:color w:val="666666"/>
          <w:sz w:val="22"/>
        </w:rPr>
        <w:t>Trích tuyển về điện sinh hoạt tại nhà cho thuê</w:t>
      </w:r>
    </w:p>
    <w:p>
      <w:pPr>
        <w:jc w:val="center"/>
      </w:pPr>
      <w:r>
        <w:rPr>
          <w:b/>
          <w:color w:val="1F4E79"/>
          <w:sz w:val="17"/>
        </w:rPr>
        <w:t>BẢN TRÍCH TUYỂN NGHIÊN CỨU — KHÔNG THAY THẾ VĂN BẢN GỐC</w:t>
      </w:r>
    </w:p>
    <w:tbl>
      <w:tblPr>
        <w:tblW w:type="auto" w:w="0"/>
        <w:jc w:val="center"/>
        <w:tblLayout w:type="fixed"/>
        <w:tblLook w:firstColumn="1" w:firstRow="1" w:lastColumn="0" w:lastRow="0" w:noHBand="0" w:noVBand="1" w:val="04A0"/>
      </w:tblPr>
      <w:tblGrid>
        <w:gridCol w:w="2016"/>
        <w:gridCol w:w="7560"/>
      </w:tblGrid>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Loại, số hiệu</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Nghị định 133/2026/NĐ-CP của Chính phủ.</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Phạm vi, đối tượng</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Xử phạt vi phạm hành chính trong lĩnh vực điện lực; phần trích này tập trung vào đơn vị/cá nhân bán lại điện cho người thuê nhà.</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Hiệu lực</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Ban hành 06/04/2026; hiệu lực từ 25/05/2026.</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Quan hệ văn bản</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Dùng cùng Luật Điện lực và quy định hiện hành về giá bán lẻ điện. Quyết định 14/2025/QĐ-TTg quy định cơ cấu biểu giá, còn quyết định giá cụ thể phải tra văn bản giá đang áp dụng.</w:t>
            </w:r>
          </w:p>
        </w:tc>
      </w:tr>
      <w:tr>
        <w:tc>
          <w:tcPr>
            <w:tcW w:type="dxa" w:w="2016"/>
            <w:vAlign w:val="center"/>
            <w:tcBorders>
              <w:top w:val="single" w:sz="4" w:color="B7C9D6"/>
              <w:left w:val="single" w:sz="4" w:color="B7C9D6"/>
              <w:bottom w:val="single" w:sz="4" w:color="B7C9D6"/>
              <w:right w:val="single" w:sz="4" w:color="B7C9D6"/>
            </w:tcBorders>
            <w:shd w:fill="EAF2F8"/>
          </w:tcPr>
          <w:p>
            <w:pPr>
              <w:spacing w:after="20"/>
            </w:pPr>
            <w:r>
              <w:rPr>
                <w:rFonts w:ascii="Arial" w:hAnsi="Arial"/>
                <w:b/>
                <w:color w:val="17365D"/>
                <w:sz w:val="17"/>
              </w:rPr>
              <w:t>Nguồn đầu vào</w:t>
            </w:r>
          </w:p>
        </w:tc>
        <w:tc>
          <w:tcPr>
            <w:tcW w:type="dxa" w:w="7560"/>
            <w:vAlign w:val="center"/>
            <w:tcBorders>
              <w:top w:val="single" w:sz="4" w:color="B7C9D6"/>
              <w:left w:val="single" w:sz="4" w:color="B7C9D6"/>
              <w:bottom w:val="single" w:sz="4" w:color="B7C9D6"/>
              <w:right w:val="single" w:sz="4" w:color="B7C9D6"/>
            </w:tcBorders>
          </w:tcPr>
          <w:p>
            <w:pPr>
              <w:spacing w:after="20" w:line="240" w:lineRule="auto"/>
            </w:pPr>
            <w:r>
              <w:rPr>
                <w:rFonts w:ascii="Arial" w:hAnsi="Arial"/>
                <w:sz w:val="17"/>
              </w:rPr>
              <w:t>PDF trong Data/electricity/nghi dinh so 133 2026.pdf; đối chiếu cổng văn bản Chính phủ ngày 01/10/2026.</w:t>
            </w:r>
          </w:p>
        </w:tc>
      </w:tr>
    </w:tbl>
    <w:p>
      <w:pPr>
        <w:pStyle w:val="Heading1"/>
      </w:pPr>
      <w:r>
        <w:t>Nội dung giữ lại</w:t>
      </w:r>
    </w:p>
    <w:p>
      <w:pPr>
        <w:pStyle w:val="Heading2"/>
      </w:pPr>
      <w:r>
        <w:t>Khoản 7 Điều 13 — thu tiền điện của người thuê nhà</w:t>
      </w:r>
    </w:p>
    <w:p>
      <w:pPr>
        <w:keepLines/>
      </w:pPr>
      <w:r>
        <w:t>Tổ chức/cá nhân bán lẻ điện cho người thuê nhà ở mà thu tiền điện cao hơn mức giá bán lẻ điện sinh hoạt do cơ quan có thẩm quyền quy định có thể bị phạt tiền từ 20.000.000 đến 30.000.000 đồng theo điều khoản này. Không áp dụng máy móc cho mọi khoản thu chung của nhà trọ: cần tách tiền điện đo đếm, cách tính giá, chủ thể bán điện và chứng từ.</w:t>
      </w:r>
    </w:p>
    <w:p>
      <w:pPr>
        <w:pStyle w:val="Heading2"/>
      </w:pPr>
      <w:r>
        <w:t>Cách dùng trong hỏi đáp</w:t>
      </w:r>
    </w:p>
    <w:p>
      <w:pPr>
        <w:keepLines/>
      </w:pPr>
      <w:r>
        <w:t>Khi sinh viên phản ánh tiền điện cao, yêu cầu kiểm tra chỉ số công tơ, số kWh, kỳ tính, biểu giá và thỏa thuận hợp đồng trước khi kết luận có vi phạm. Mức xử phạt còn phải đối chiếu đúng chủ thể, quy tắc xác định tiền phạt và thẩm quyền xử phạt trong vụ việc cụ thể.</w:t>
      </w:r>
    </w:p>
    <w:p>
      <w:pPr>
        <w:pStyle w:val="Heading2"/>
      </w:pPr>
      <w:r>
        <w:t>Giới hạn trích tuyển</w:t>
      </w:r>
    </w:p>
    <w:p>
      <w:pPr>
        <w:keepLines/>
      </w:pPr>
      <w:r>
        <w:t>Không đưa toàn bộ nhóm vi phạm kỹ thuật, giấy phép và vận hành lưới điện vào kho hỏi đáp thuê trọ; chúng không giúp xác định hóa đơn điện của sinh viên.</w:t>
      </w:r>
    </w:p>
    <w:p>
      <w:pPr>
        <w:pStyle w:val="Heading1"/>
      </w:pPr>
      <w:r>
        <w:t>Nguồn đối chiếu</w:t>
      </w:r>
    </w:p>
    <w:p>
      <w:pPr>
        <w:pStyle w:val="ListBullet"/>
        <w:spacing w:after="40"/>
      </w:pPr>
      <w:hyperlink r:id="rId10">
        <w:r>
          <w:rPr>
            <w:color w:val="1F4E79"/>
            <w:u w:val="single"/>
          </w:rPr>
          <w:t>https://vanban.chinhphu.vn/?docid=217612&amp;pageid=27160</w:t>
        </w:r>
      </w:hyperlink>
    </w:p>
    <w:p>
      <w:pPr>
        <w:spacing w:before="140"/>
      </w:pPr>
      <w:r>
        <w:rPr>
          <w:b/>
        </w:rPr>
        <w:t xml:space="preserve">Ghi chú: </w:t>
      </w:r>
      <w:r>
        <w:t>Đây là bản rút gọn có biên tập để phục vụ nghiên cứu và truy xuất theo điều khoản. Khi trả lời một tình huống thực tế, cần kiểm tra bản gốc, văn bản sửa đổi, điều khoản chuyển tiếp và dữ kiện cụ thể.</w:t>
      </w:r>
    </w:p>
    <w:sectPr w:rsidR="00FC693F" w:rsidRPr="0006063C" w:rsidSect="00034616">
      <w:footerReference w:type="default" r:id="rId9"/>
      <w:pgSz w:w="11906" w:h="16838"/>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Bản trích phục vụ nghiên cứu  •  Kiểm tra 01/10/2026  •  Trang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4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anban.chinhphu.vn/?docid=217612&amp;pageid=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ĐỊNH 133/2026/NĐ-CP</dc:title>
  <dc:subject>Trích tuyển về điện sinh hoạt tại nhà cho thuê</dc:subject>
  <dc:creator>Bản trích nghiên cứu — kiểm tra 01/10/2026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