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NGHỊ ĐỊNH 106/2025/NĐ-CP</w:t>
      </w:r>
    </w:p>
    <w:p>
      <w:pPr>
        <w:jc w:val="center"/>
      </w:pPr>
      <w:r>
        <w:rPr>
          <w:rFonts w:ascii="Arial" w:hAnsi="Arial"/>
          <w:i/>
          <w:color w:val="666666"/>
          <w:sz w:val="22"/>
        </w:rPr>
        <w:t>Trích tuyển xử phạt PCCC — cập nhật đến 01/10/2026</w:t>
      </w:r>
    </w:p>
    <w:p>
      <w:pPr>
        <w:jc w:val="center"/>
      </w:pPr>
      <w:r>
        <w:rPr>
          <w:b/>
          <w:color w:val="1F4E79"/>
          <w:sz w:val="17"/>
        </w:rPr>
        <w:t>BẢN TRÍCH TUYỂN NGHIÊN CỨU — KHÔNG THAY THẾ VĂN BẢN GỐC</w:t>
      </w:r>
    </w:p>
    <w:tbl>
      <w:tblPr>
        <w:tblW w:type="auto" w:w="0"/>
        <w:jc w:val="center"/>
        <w:tblLayout w:type="fixed"/>
        <w:tblLook w:firstColumn="1" w:firstRow="1" w:lastColumn="0" w:lastRow="0" w:noHBand="0" w:noVBand="1" w:val="04A0"/>
      </w:tblPr>
      <w:tblGrid>
        <w:gridCol w:w="2016"/>
        <w:gridCol w:w="7560"/>
      </w:tblGrid>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Loại, số hiệu</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Nghị định 106/2025/NĐ-CP của Chính phủ về xử phạt vi phạm hành chính trong lĩnh vực PCCC và cứu nạn, cứu hộ.</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Phạm vi, đối tượng</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Áp dụng với tổ chức, cá nhân có hành vi vi phạm trong lĩnh vực PCCC; người thuê nhà thuộc nhóm chịu trách nhiệm tương ứng với nghĩa vụ của mình.</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Hiệu lực</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Nghị định gốc hiệu lực từ 01/07/2025; cập nhật liên quan theo Nghị định 69/2026 (hiệu lực 20/04/2026) và Nghị định 347/2026 (hiệu lực chung 15/09/2026).</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Nguồn đầu vào</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PDF trong Data/fire_safety/nghi dinh so 106 2025.pdf; đối chiếu bản gốc và các văn bản sửa đổi chính thức ngày 01/10/2026.</w:t>
            </w:r>
          </w:p>
        </w:tc>
      </w:tr>
    </w:tbl>
    <w:p>
      <w:pPr>
        <w:pStyle w:val="Heading1"/>
      </w:pPr>
      <w:r>
        <w:t>Nội dung giữ lại</w:t>
      </w:r>
    </w:p>
    <w:p>
      <w:pPr>
        <w:pStyle w:val="Heading2"/>
      </w:pPr>
      <w:r>
        <w:t>Khoản 7 Điều 3 — trách nhiệm xử phạt người thuê</w:t>
      </w:r>
    </w:p>
    <w:p>
      <w:pPr>
        <w:keepLines/>
      </w:pPr>
      <w:r>
        <w:t>Theo sửa đổi tại khoản 2 Điều 2 Nghị định 69/2026/NĐ-CP, tổ chức hoạt động trong phạm vi cơ sở và tổ chức/cá nhân thuê, mượn, ở nhờ nhà ở bị xử phạt đối với hành vi vi phạm tương ứng với trách nhiệm của mình theo pháp luật PCCC. Điều này không có nghĩa người thuê tự động chịu mọi vi phạm thuộc chủ nhà.</w:t>
      </w:r>
    </w:p>
    <w:p>
      <w:pPr>
        <w:pStyle w:val="Heading2"/>
      </w:pPr>
      <w:r>
        <w:t>Khoản 3–4 Điều 18 — trách nhiệm chủ đầu tư/chủ sở hữu công trình</w:t>
      </w:r>
    </w:p>
    <w:p>
      <w:pPr>
        <w:keepLines/>
      </w:pPr>
      <w:r>
        <w:t>Nghị định 347/2026/NĐ-CP, Điều 32 sửa mức phạt trong trường hợp đưa công trình vào khai thác khi chưa hoàn tất nghiệm thu hoặc chưa có văn bản thẩm định PCCC. Đây chủ yếu là nghĩa vụ của chủ đầu tư/chủ sở hữu; đưa vào đây để tránh nhầm với chế tài người thuê.</w:t>
      </w:r>
    </w:p>
    <w:p>
      <w:pPr>
        <w:pStyle w:val="Heading2"/>
      </w:pPr>
      <w:r>
        <w:t>Cách trả lời tình huống người thuê</w:t>
      </w:r>
    </w:p>
    <w:p>
      <w:pPr>
        <w:keepLines/>
      </w:pPr>
      <w:r>
        <w:t>Trước khi nêu tiền phạt, xác định hành vi cụ thể, trách nhiệm nào được giao cho người thuê theo Điều 8 Luật 55/2024, loại nhà/cơ sở và điều khoản xử phạt hiện hành. Bản trích này không thay thế bảng mức phạt đầy đủ của từng hành vi.</w:t>
      </w:r>
    </w:p>
    <w:p>
      <w:pPr>
        <w:pStyle w:val="Heading2"/>
      </w:pPr>
      <w:r>
        <w:t>Lược khỏi dữ liệu tìm kiếm</w:t>
      </w:r>
    </w:p>
    <w:p>
      <w:pPr>
        <w:keepLines/>
      </w:pPr>
      <w:r>
        <w:t>Các mức phạt cho công trình, phương tiện, thẩm định thiết kế và quy trình xử lý nội bộ không gắn với hành vi người thuê được giữ ngoài phần truy xuất chính.</w:t>
      </w:r>
    </w:p>
    <w:p>
      <w:pPr>
        <w:pStyle w:val="Heading1"/>
      </w:pPr>
      <w:r>
        <w:t>Nguồn đối chiếu</w:t>
      </w:r>
    </w:p>
    <w:p>
      <w:pPr>
        <w:pStyle w:val="ListBullet"/>
        <w:spacing w:after="40"/>
      </w:pPr>
      <w:hyperlink r:id="rId10">
        <w:r>
          <w:rPr>
            <w:color w:val="1F4E79"/>
            <w:u w:val="single"/>
          </w:rPr>
          <w:t>https://vanban.chinhphu.vn/?classid=1&amp;docid=213672&amp;pageid=27160&amp;typegroupid=4</w:t>
        </w:r>
      </w:hyperlink>
    </w:p>
    <w:p>
      <w:pPr>
        <w:pStyle w:val="ListBullet"/>
        <w:spacing w:after="40"/>
      </w:pPr>
      <w:hyperlink r:id="rId11">
        <w:r>
          <w:rPr>
            <w:color w:val="1F4E79"/>
            <w:u w:val="single"/>
          </w:rPr>
          <w:t>https://vanban.chinhphu.vn/?classid=1&amp;docid=217145&amp;pageid=27160&amp;typegroupid=4</w:t>
        </w:r>
      </w:hyperlink>
    </w:p>
    <w:p>
      <w:pPr>
        <w:pStyle w:val="ListBullet"/>
        <w:spacing w:after="40"/>
      </w:pPr>
      <w:hyperlink r:id="rId12">
        <w:r>
          <w:rPr>
            <w:color w:val="1F4E79"/>
            <w:u w:val="single"/>
          </w:rPr>
          <w:t>https://vanban.chinhphu.vn/?classid=1&amp;docid=219411&amp;pageid=27160&amp;typegroupid=4</w:t>
        </w:r>
      </w:hyperlink>
    </w:p>
    <w:p>
      <w:pPr>
        <w:spacing w:before="140"/>
      </w:pPr>
      <w:r>
        <w:rPr>
          <w:b/>
        </w:rPr>
        <w:t xml:space="preserve">Ghi chú: </w:t>
      </w:r>
      <w:r>
        <w:t>Đây là bản rút gọn có biên tập để phục vụ nghiên cứu và truy xuất theo điều khoản. Khi trả lời một tình huống thực tế, cần kiểm tra bản gốc, văn bản sửa đổi, điều khoản chuyển tiếp và dữ kiện cụ thể.</w:t>
      </w:r>
    </w:p>
    <w:sectPr w:rsidR="00FC693F" w:rsidRPr="0006063C" w:rsidSect="00034616">
      <w:footerReference w:type="default" r:id="rId9"/>
      <w:pgSz w:w="11906" w:h="16838"/>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Bản trích phục vụ nghiên cứu  •  Kiểm tra 01/10/2026  •  Trang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32D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60" w:line="240" w:lineRule="auto" w:before="140"/>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vanban.chinhphu.vn/?classid=1&amp;docid=213672&amp;pageid=27160&amp;typegroupid=4" TargetMode="External"/><Relationship Id="rId11" Type="http://schemas.openxmlformats.org/officeDocument/2006/relationships/hyperlink" Target="https://vanban.chinhphu.vn/?classid=1&amp;docid=217145&amp;pageid=27160&amp;typegroupid=4" TargetMode="External"/><Relationship Id="rId12" Type="http://schemas.openxmlformats.org/officeDocument/2006/relationships/hyperlink" Target="https://vanban.chinhphu.vn/?classid=1&amp;docid=219411&amp;pageid=27160&amp;typegroupid=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NGHỊ ĐỊNH 106/2025/NĐ-CP</dc:title>
  <dc:subject>Trích tuyển xử phạt PCCC — cập nhật đến 01/10/2026</dc:subject>
  <dc:creator>Bản trích nghiên cứu — kiểm tra 01/10/2026</dc:creator>
  <cp:keywords/>
  <dc:description>generated by python-docx</dc:description>
  <cp:lastModifiedBy/>
  <cp:revision>1</cp:revision>
  <dcterms:created xsi:type="dcterms:W3CDTF">2013-12-23T23:15:00Z</dcterms:created>
  <dcterms:modified xsi:type="dcterms:W3CDTF">2013-12-23T23:15:00Z</dcterms:modified>
  <cp:category/>
</cp:coreProperties>
</file>